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06F" w:rsidRPr="003F6BF8" w:rsidRDefault="00A7506F" w:rsidP="00A7506F">
      <w:pPr>
        <w:jc w:val="center"/>
        <w:rPr>
          <w:rFonts w:ascii="Verdana" w:hAnsi="Verdana"/>
          <w:b/>
          <w:sz w:val="32"/>
          <w:szCs w:val="32"/>
        </w:rPr>
      </w:pPr>
      <w:r w:rsidRPr="003F6BF8">
        <w:rPr>
          <w:rFonts w:ascii="Verdana" w:hAnsi="Verdana"/>
          <w:b/>
          <w:sz w:val="32"/>
          <w:szCs w:val="32"/>
        </w:rPr>
        <w:t>Budmouth Academy Curriculum Statement</w:t>
      </w:r>
    </w:p>
    <w:p w:rsidR="00A7506F" w:rsidRDefault="00A7506F" w:rsidP="00A7506F">
      <w:pPr>
        <w:spacing w:after="0"/>
        <w:rPr>
          <w:rFonts w:ascii="Verdana" w:hAnsi="Verdana"/>
        </w:rPr>
      </w:pPr>
    </w:p>
    <w:p w:rsidR="00A7506F" w:rsidRDefault="00507377" w:rsidP="00A7506F">
      <w:pPr>
        <w:spacing w:after="0"/>
        <w:rPr>
          <w:rFonts w:ascii="Verdana" w:hAnsi="Verdana"/>
          <w:b/>
          <w:sz w:val="28"/>
          <w:szCs w:val="28"/>
        </w:rPr>
      </w:pPr>
      <w:r>
        <w:rPr>
          <w:rFonts w:ascii="Verdana" w:hAnsi="Verdana"/>
          <w:b/>
          <w:sz w:val="28"/>
          <w:szCs w:val="28"/>
        </w:rPr>
        <w:t>Cambridge Technicals in Business</w:t>
      </w:r>
    </w:p>
    <w:p w:rsidR="00A7506F" w:rsidRDefault="00A7506F" w:rsidP="00A7506F">
      <w:pPr>
        <w:spacing w:after="0"/>
        <w:rPr>
          <w:rFonts w:ascii="Verdana" w:hAnsi="Verdana"/>
          <w:b/>
          <w:sz w:val="28"/>
          <w:szCs w:val="28"/>
        </w:rPr>
      </w:pPr>
    </w:p>
    <w:p w:rsidR="00A7506F" w:rsidRPr="0000544C" w:rsidRDefault="00A7506F" w:rsidP="00A7506F">
      <w:pPr>
        <w:spacing w:after="0"/>
        <w:rPr>
          <w:rFonts w:ascii="Verdana" w:hAnsi="Verdana"/>
        </w:rPr>
      </w:pPr>
      <w:r w:rsidRPr="0000544C">
        <w:rPr>
          <w:rFonts w:ascii="Verdana" w:hAnsi="Verdana"/>
        </w:rPr>
        <w:t>Our vision is to help students understand and engage with the increasingly complex business world in which we live, and enable them to become informed and confident consumers, employees and entrepreneurs.</w:t>
      </w:r>
    </w:p>
    <w:p w:rsidR="00A7506F" w:rsidRPr="0000544C" w:rsidRDefault="00A7506F" w:rsidP="00A7506F">
      <w:pPr>
        <w:spacing w:after="0"/>
        <w:rPr>
          <w:rFonts w:ascii="Verdana" w:hAnsi="Verdana"/>
          <w:b/>
          <w:sz w:val="28"/>
          <w:szCs w:val="28"/>
        </w:rPr>
      </w:pPr>
    </w:p>
    <w:p w:rsidR="00A7506F" w:rsidRPr="0000544C" w:rsidRDefault="00A7506F" w:rsidP="00A7506F">
      <w:pPr>
        <w:spacing w:after="0"/>
        <w:rPr>
          <w:rFonts w:ascii="Verdana" w:hAnsi="Verdana"/>
          <w:b/>
        </w:rPr>
      </w:pPr>
      <w:r w:rsidRPr="0000544C">
        <w:rPr>
          <w:rFonts w:ascii="Verdana" w:hAnsi="Verdana"/>
          <w:b/>
        </w:rPr>
        <w:t>Curriculum intent</w:t>
      </w:r>
    </w:p>
    <w:p w:rsidR="00A7506F" w:rsidRPr="0000544C" w:rsidRDefault="00A7506F" w:rsidP="00A7506F">
      <w:pPr>
        <w:spacing w:after="0"/>
        <w:rPr>
          <w:rFonts w:ascii="Verdana" w:hAnsi="Verdana"/>
          <w:b/>
          <w:sz w:val="28"/>
          <w:szCs w:val="28"/>
        </w:rPr>
      </w:pPr>
    </w:p>
    <w:p w:rsidR="00A7506F" w:rsidRPr="0000544C" w:rsidRDefault="00A7506F" w:rsidP="0000544C">
      <w:pPr>
        <w:spacing w:after="0" w:line="240" w:lineRule="auto"/>
        <w:rPr>
          <w:rFonts w:ascii="Verdana" w:hAnsi="Verdana"/>
        </w:rPr>
      </w:pPr>
      <w:r w:rsidRPr="0000544C">
        <w:rPr>
          <w:rFonts w:ascii="Verdana" w:hAnsi="Verdana"/>
        </w:rPr>
        <w:t>Our curriculum is designed to:</w:t>
      </w:r>
    </w:p>
    <w:p w:rsidR="00A7506F" w:rsidRPr="0000544C" w:rsidRDefault="00A7506F" w:rsidP="0000544C">
      <w:pPr>
        <w:spacing w:after="0" w:line="240" w:lineRule="auto"/>
        <w:rPr>
          <w:rFonts w:ascii="Verdana" w:hAnsi="Verdana"/>
        </w:rPr>
      </w:pPr>
    </w:p>
    <w:p w:rsidR="00EC1A2E" w:rsidRPr="0000544C" w:rsidRDefault="0000544C" w:rsidP="0000544C">
      <w:pPr>
        <w:pStyle w:val="ListParagraph"/>
        <w:numPr>
          <w:ilvl w:val="0"/>
          <w:numId w:val="1"/>
        </w:numPr>
        <w:spacing w:after="0" w:line="240" w:lineRule="auto"/>
        <w:rPr>
          <w:rFonts w:ascii="Verdana" w:hAnsi="Verdana"/>
        </w:rPr>
      </w:pPr>
      <w:r w:rsidRPr="0000544C">
        <w:rPr>
          <w:rFonts w:ascii="Verdana" w:hAnsi="Verdana"/>
        </w:rPr>
        <w:t>Give students an understanding of what we mean by entrepreneurship</w:t>
      </w:r>
      <w:r w:rsidR="00CD54F1">
        <w:rPr>
          <w:rFonts w:ascii="Verdana" w:hAnsi="Verdana"/>
        </w:rPr>
        <w:t>,</w:t>
      </w:r>
      <w:r w:rsidRPr="0000544C">
        <w:rPr>
          <w:rFonts w:ascii="Verdana" w:hAnsi="Verdana"/>
        </w:rPr>
        <w:t xml:space="preserve"> and the skills and qualities that an entrepreneur needs in order to set up a successful business.</w:t>
      </w:r>
    </w:p>
    <w:p w:rsidR="0000544C" w:rsidRPr="0000544C" w:rsidRDefault="0000544C" w:rsidP="0000544C">
      <w:pPr>
        <w:pStyle w:val="ListParagraph"/>
        <w:numPr>
          <w:ilvl w:val="0"/>
          <w:numId w:val="1"/>
        </w:numPr>
        <w:spacing w:after="0" w:line="240" w:lineRule="auto"/>
        <w:rPr>
          <w:rFonts w:ascii="Verdana" w:hAnsi="Verdana"/>
        </w:rPr>
      </w:pPr>
      <w:r w:rsidRPr="0000544C">
        <w:rPr>
          <w:rFonts w:ascii="Verdana" w:hAnsi="Verdana"/>
        </w:rPr>
        <w:t>Develop an understanding of the key functional areas in a business; marketing, finance, HR, and operations management.</w:t>
      </w:r>
    </w:p>
    <w:p w:rsidR="0000544C" w:rsidRPr="0000544C" w:rsidRDefault="0000544C" w:rsidP="0000544C">
      <w:pPr>
        <w:pStyle w:val="ListParagraph"/>
        <w:numPr>
          <w:ilvl w:val="0"/>
          <w:numId w:val="1"/>
        </w:numPr>
        <w:spacing w:after="0" w:line="240" w:lineRule="auto"/>
        <w:rPr>
          <w:rFonts w:ascii="Verdana" w:hAnsi="Verdana"/>
        </w:rPr>
      </w:pPr>
      <w:r w:rsidRPr="0000544C">
        <w:rPr>
          <w:rFonts w:ascii="Verdana" w:hAnsi="Verdana"/>
        </w:rPr>
        <w:t>Learn more about the world in which we live in, and how changes in the economic environment affect people and UK businesses.</w:t>
      </w:r>
    </w:p>
    <w:p w:rsidR="0000544C" w:rsidRPr="0000544C" w:rsidRDefault="0000544C" w:rsidP="0000544C">
      <w:pPr>
        <w:pStyle w:val="ListParagraph"/>
        <w:numPr>
          <w:ilvl w:val="0"/>
          <w:numId w:val="1"/>
        </w:numPr>
        <w:spacing w:after="0" w:line="240" w:lineRule="auto"/>
        <w:rPr>
          <w:rFonts w:ascii="Verdana" w:hAnsi="Verdana"/>
        </w:rPr>
      </w:pPr>
      <w:r w:rsidRPr="0000544C">
        <w:rPr>
          <w:rFonts w:ascii="Verdana" w:hAnsi="Verdana"/>
        </w:rPr>
        <w:t>Develop examinations skills, e.g. interpreting</w:t>
      </w:r>
      <w:r w:rsidR="00CD54F1">
        <w:rPr>
          <w:rFonts w:ascii="Verdana" w:hAnsi="Verdana"/>
        </w:rPr>
        <w:t xml:space="preserve"> data, analytical arguments, ma</w:t>
      </w:r>
      <w:r w:rsidRPr="0000544C">
        <w:rPr>
          <w:rFonts w:ascii="Verdana" w:hAnsi="Verdana"/>
        </w:rPr>
        <w:t>king judgements, based on the available evidence.</w:t>
      </w:r>
    </w:p>
    <w:p w:rsidR="0000544C" w:rsidRDefault="0000544C" w:rsidP="0000544C">
      <w:pPr>
        <w:pStyle w:val="ListParagraph"/>
        <w:numPr>
          <w:ilvl w:val="0"/>
          <w:numId w:val="1"/>
        </w:numPr>
        <w:spacing w:after="0" w:line="240" w:lineRule="auto"/>
        <w:rPr>
          <w:rFonts w:ascii="Verdana" w:hAnsi="Verdana"/>
        </w:rPr>
      </w:pPr>
      <w:r w:rsidRPr="0000544C">
        <w:rPr>
          <w:rFonts w:ascii="Verdana" w:hAnsi="Verdana"/>
        </w:rPr>
        <w:t>Develop an appreciation of moral and ethical issues related to the operations of a business.</w:t>
      </w:r>
    </w:p>
    <w:p w:rsidR="00507377" w:rsidRPr="0000544C" w:rsidRDefault="00507377" w:rsidP="0000544C">
      <w:pPr>
        <w:pStyle w:val="ListParagraph"/>
        <w:numPr>
          <w:ilvl w:val="0"/>
          <w:numId w:val="1"/>
        </w:numPr>
        <w:spacing w:after="0" w:line="240" w:lineRule="auto"/>
        <w:rPr>
          <w:rFonts w:ascii="Verdana" w:hAnsi="Verdana"/>
        </w:rPr>
      </w:pPr>
      <w:r>
        <w:rPr>
          <w:rFonts w:ascii="Verdana" w:hAnsi="Verdana"/>
        </w:rPr>
        <w:t>To develop work-based skills.</w:t>
      </w:r>
    </w:p>
    <w:p w:rsidR="0000544C" w:rsidRPr="0000544C" w:rsidRDefault="0000544C" w:rsidP="0000544C">
      <w:pPr>
        <w:spacing w:after="0" w:line="240" w:lineRule="auto"/>
        <w:rPr>
          <w:rFonts w:ascii="Verdana" w:hAnsi="Verdana"/>
        </w:rPr>
      </w:pPr>
    </w:p>
    <w:p w:rsidR="0000544C" w:rsidRPr="0000544C" w:rsidRDefault="0000544C" w:rsidP="0000544C">
      <w:pPr>
        <w:spacing w:after="0" w:line="240" w:lineRule="auto"/>
        <w:rPr>
          <w:rFonts w:ascii="Verdana" w:hAnsi="Verdana"/>
          <w:b/>
        </w:rPr>
      </w:pPr>
      <w:r w:rsidRPr="0000544C">
        <w:rPr>
          <w:rFonts w:ascii="Verdana" w:hAnsi="Verdana"/>
          <w:b/>
        </w:rPr>
        <w:t>Implementation and delivery of the curriculum</w:t>
      </w:r>
    </w:p>
    <w:p w:rsidR="0000544C" w:rsidRDefault="0000544C" w:rsidP="0000544C">
      <w:pPr>
        <w:spacing w:after="0" w:line="240" w:lineRule="auto"/>
        <w:rPr>
          <w:rFonts w:ascii="Verdana" w:hAnsi="Verdana"/>
        </w:rPr>
      </w:pPr>
    </w:p>
    <w:p w:rsidR="0000544C" w:rsidRDefault="0000544C" w:rsidP="0000544C">
      <w:pPr>
        <w:spacing w:after="0" w:line="240" w:lineRule="auto"/>
        <w:rPr>
          <w:rFonts w:ascii="Verdana" w:hAnsi="Verdana"/>
        </w:rPr>
      </w:pPr>
      <w:r>
        <w:rPr>
          <w:rFonts w:ascii="Verdana" w:hAnsi="Verdana"/>
        </w:rPr>
        <w:t>Delivery schedule:</w:t>
      </w:r>
    </w:p>
    <w:p w:rsidR="00507377" w:rsidRDefault="00507377" w:rsidP="00507377">
      <w:pPr>
        <w:rPr>
          <w:rFonts w:ascii="Verdana" w:hAnsi="Verdana"/>
        </w:rPr>
      </w:pPr>
    </w:p>
    <w:tbl>
      <w:tblPr>
        <w:tblStyle w:val="TableGrid"/>
        <w:tblW w:w="0" w:type="auto"/>
        <w:tblLook w:val="04A0" w:firstRow="1" w:lastRow="0" w:firstColumn="1" w:lastColumn="0" w:noHBand="0" w:noVBand="1"/>
      </w:tblPr>
      <w:tblGrid>
        <w:gridCol w:w="1000"/>
        <w:gridCol w:w="4394"/>
        <w:gridCol w:w="4688"/>
      </w:tblGrid>
      <w:tr w:rsidR="00507377" w:rsidRPr="00446DA2" w:rsidTr="00DB74CF">
        <w:tc>
          <w:tcPr>
            <w:tcW w:w="1242" w:type="dxa"/>
            <w:shd w:val="clear" w:color="auto" w:fill="BFBFBF" w:themeFill="background1" w:themeFillShade="BF"/>
          </w:tcPr>
          <w:p w:rsidR="00507377" w:rsidRPr="00446DA2" w:rsidRDefault="00507377" w:rsidP="00DB74CF">
            <w:pPr>
              <w:rPr>
                <w:rFonts w:ascii="Verdana" w:hAnsi="Verdana"/>
                <w:b/>
              </w:rPr>
            </w:pPr>
            <w:r w:rsidRPr="00446DA2">
              <w:rPr>
                <w:rFonts w:ascii="Verdana" w:hAnsi="Verdana"/>
                <w:b/>
              </w:rPr>
              <w:t>Year 12</w:t>
            </w:r>
          </w:p>
        </w:tc>
        <w:tc>
          <w:tcPr>
            <w:tcW w:w="6663" w:type="dxa"/>
            <w:shd w:val="clear" w:color="auto" w:fill="BFBFBF" w:themeFill="background1" w:themeFillShade="BF"/>
          </w:tcPr>
          <w:p w:rsidR="00507377" w:rsidRPr="00446DA2" w:rsidRDefault="00507377" w:rsidP="00DB74CF">
            <w:pPr>
              <w:rPr>
                <w:rFonts w:ascii="Verdana" w:hAnsi="Verdana"/>
                <w:b/>
              </w:rPr>
            </w:pPr>
            <w:r w:rsidRPr="00446DA2">
              <w:rPr>
                <w:rFonts w:ascii="Verdana" w:hAnsi="Verdana"/>
                <w:b/>
              </w:rPr>
              <w:t xml:space="preserve">Single </w:t>
            </w:r>
            <w:r>
              <w:rPr>
                <w:rFonts w:ascii="Verdana" w:hAnsi="Verdana"/>
                <w:b/>
              </w:rPr>
              <w:t xml:space="preserve">Block  - </w:t>
            </w:r>
            <w:r w:rsidRPr="00446DA2">
              <w:rPr>
                <w:rFonts w:ascii="Verdana" w:hAnsi="Verdana"/>
                <w:b/>
              </w:rPr>
              <w:t xml:space="preserve">Certificate </w:t>
            </w:r>
          </w:p>
        </w:tc>
        <w:tc>
          <w:tcPr>
            <w:tcW w:w="7512" w:type="dxa"/>
            <w:shd w:val="clear" w:color="auto" w:fill="BFBFBF" w:themeFill="background1" w:themeFillShade="BF"/>
          </w:tcPr>
          <w:p w:rsidR="00507377" w:rsidRPr="00446DA2" w:rsidRDefault="00507377" w:rsidP="00DB74CF">
            <w:pPr>
              <w:rPr>
                <w:rFonts w:ascii="Verdana" w:hAnsi="Verdana"/>
                <w:b/>
              </w:rPr>
            </w:pPr>
            <w:r w:rsidRPr="00446DA2">
              <w:rPr>
                <w:rFonts w:ascii="Verdana" w:hAnsi="Verdana"/>
                <w:b/>
              </w:rPr>
              <w:t xml:space="preserve">Double </w:t>
            </w:r>
            <w:r>
              <w:rPr>
                <w:rFonts w:ascii="Verdana" w:hAnsi="Verdana"/>
                <w:b/>
              </w:rPr>
              <w:t xml:space="preserve">Block  - </w:t>
            </w:r>
            <w:r w:rsidRPr="00446DA2">
              <w:rPr>
                <w:rFonts w:ascii="Verdana" w:hAnsi="Verdana"/>
                <w:b/>
              </w:rPr>
              <w:t>Diploma</w:t>
            </w:r>
          </w:p>
        </w:tc>
      </w:tr>
      <w:tr w:rsidR="00507377" w:rsidTr="00DB74CF">
        <w:tc>
          <w:tcPr>
            <w:tcW w:w="1242" w:type="dxa"/>
            <w:shd w:val="clear" w:color="auto" w:fill="BFBFBF" w:themeFill="background1" w:themeFillShade="BF"/>
          </w:tcPr>
          <w:p w:rsidR="00507377" w:rsidRDefault="00507377" w:rsidP="00DB74CF">
            <w:pPr>
              <w:rPr>
                <w:rFonts w:ascii="Verdana" w:hAnsi="Verdana"/>
              </w:rPr>
            </w:pPr>
            <w:r>
              <w:rPr>
                <w:rFonts w:ascii="Verdana" w:hAnsi="Verdana"/>
              </w:rPr>
              <w:t>Term 1</w:t>
            </w:r>
          </w:p>
        </w:tc>
        <w:tc>
          <w:tcPr>
            <w:tcW w:w="6663" w:type="dxa"/>
            <w:vMerge w:val="restart"/>
          </w:tcPr>
          <w:p w:rsidR="00507377" w:rsidRPr="009132E4" w:rsidRDefault="00507377" w:rsidP="00DB74CF">
            <w:pPr>
              <w:rPr>
                <w:rFonts w:ascii="Verdana" w:hAnsi="Verdana"/>
                <w:b/>
              </w:rPr>
            </w:pPr>
            <w:r w:rsidRPr="009132E4">
              <w:rPr>
                <w:rFonts w:ascii="Verdana" w:hAnsi="Verdana"/>
                <w:b/>
              </w:rPr>
              <w:t>Unit 1</w:t>
            </w:r>
          </w:p>
          <w:p w:rsidR="00507377" w:rsidRPr="009132E4" w:rsidRDefault="00507377" w:rsidP="00DB74CF">
            <w:pPr>
              <w:rPr>
                <w:rFonts w:ascii="Verdana" w:hAnsi="Verdana"/>
                <w:b/>
              </w:rPr>
            </w:pPr>
            <w:r w:rsidRPr="009132E4">
              <w:rPr>
                <w:rFonts w:ascii="Verdana" w:hAnsi="Verdana"/>
                <w:b/>
              </w:rPr>
              <w:t>Business Environment</w:t>
            </w:r>
          </w:p>
          <w:p w:rsidR="00507377" w:rsidRDefault="00507377" w:rsidP="00DB74CF">
            <w:pPr>
              <w:rPr>
                <w:rFonts w:ascii="Verdana" w:hAnsi="Verdana"/>
              </w:rPr>
            </w:pPr>
            <w:r>
              <w:rPr>
                <w:rFonts w:ascii="Verdana" w:hAnsi="Verdana"/>
              </w:rPr>
              <w:t>Externally Assessed</w:t>
            </w:r>
          </w:p>
          <w:p w:rsidR="00507377" w:rsidRDefault="00507377" w:rsidP="00DB74CF">
            <w:pPr>
              <w:rPr>
                <w:rFonts w:ascii="Verdana" w:hAnsi="Verdana"/>
              </w:rPr>
            </w:pPr>
          </w:p>
          <w:p w:rsidR="00507377" w:rsidRPr="009132E4" w:rsidRDefault="00507377" w:rsidP="00DB74CF">
            <w:pPr>
              <w:rPr>
                <w:rFonts w:ascii="Verdana" w:hAnsi="Verdana"/>
                <w:b/>
              </w:rPr>
            </w:pPr>
            <w:r w:rsidRPr="009132E4">
              <w:rPr>
                <w:rFonts w:ascii="Verdana" w:hAnsi="Verdana"/>
                <w:b/>
              </w:rPr>
              <w:t>Unit 5</w:t>
            </w:r>
          </w:p>
          <w:p w:rsidR="00507377" w:rsidRPr="009132E4" w:rsidRDefault="00507377" w:rsidP="00DB74CF">
            <w:pPr>
              <w:rPr>
                <w:rFonts w:ascii="Verdana" w:hAnsi="Verdana"/>
                <w:b/>
              </w:rPr>
            </w:pPr>
            <w:r w:rsidRPr="009132E4">
              <w:rPr>
                <w:rFonts w:ascii="Verdana" w:hAnsi="Verdana"/>
                <w:b/>
              </w:rPr>
              <w:t>Marketing and market research</w:t>
            </w:r>
          </w:p>
          <w:p w:rsidR="00507377" w:rsidRDefault="00507377" w:rsidP="00DB74CF">
            <w:pPr>
              <w:rPr>
                <w:rFonts w:ascii="Verdana" w:hAnsi="Verdana"/>
              </w:rPr>
            </w:pPr>
            <w:r>
              <w:rPr>
                <w:rFonts w:ascii="Verdana" w:hAnsi="Verdana"/>
              </w:rPr>
              <w:t>Internally assessed</w:t>
            </w:r>
          </w:p>
          <w:p w:rsidR="00507377" w:rsidRDefault="00507377" w:rsidP="00DB74CF">
            <w:pPr>
              <w:rPr>
                <w:rFonts w:ascii="Verdana" w:hAnsi="Verdana"/>
              </w:rPr>
            </w:pPr>
          </w:p>
        </w:tc>
        <w:tc>
          <w:tcPr>
            <w:tcW w:w="7512" w:type="dxa"/>
          </w:tcPr>
          <w:p w:rsidR="00507377" w:rsidRPr="009132E4" w:rsidRDefault="00507377" w:rsidP="00DB74CF">
            <w:pPr>
              <w:rPr>
                <w:rFonts w:ascii="Verdana" w:hAnsi="Verdana"/>
                <w:b/>
              </w:rPr>
            </w:pPr>
            <w:r w:rsidRPr="009132E4">
              <w:rPr>
                <w:rFonts w:ascii="Verdana" w:hAnsi="Verdana"/>
                <w:b/>
              </w:rPr>
              <w:t>Unit 3</w:t>
            </w:r>
          </w:p>
          <w:p w:rsidR="00507377" w:rsidRPr="009132E4" w:rsidRDefault="00507377" w:rsidP="00DB74CF">
            <w:pPr>
              <w:rPr>
                <w:rFonts w:ascii="Verdana" w:hAnsi="Verdana"/>
                <w:b/>
              </w:rPr>
            </w:pPr>
            <w:r w:rsidRPr="009132E4">
              <w:rPr>
                <w:rFonts w:ascii="Verdana" w:hAnsi="Verdana"/>
                <w:b/>
              </w:rPr>
              <w:t>Business Decisions</w:t>
            </w:r>
          </w:p>
          <w:p w:rsidR="00507377" w:rsidRDefault="00507377" w:rsidP="00DB74CF">
            <w:pPr>
              <w:rPr>
                <w:rFonts w:ascii="Verdana" w:hAnsi="Verdana"/>
              </w:rPr>
            </w:pPr>
            <w:r>
              <w:rPr>
                <w:rFonts w:ascii="Verdana" w:hAnsi="Verdana"/>
              </w:rPr>
              <w:t>Externally Assessed</w:t>
            </w:r>
          </w:p>
          <w:p w:rsidR="00507377" w:rsidRDefault="00507377" w:rsidP="00DB74CF">
            <w:pPr>
              <w:rPr>
                <w:rFonts w:ascii="Verdana" w:hAnsi="Verdana"/>
              </w:rPr>
            </w:pPr>
          </w:p>
        </w:tc>
      </w:tr>
      <w:tr w:rsidR="00507377" w:rsidTr="00DB74CF">
        <w:tc>
          <w:tcPr>
            <w:tcW w:w="1242" w:type="dxa"/>
            <w:shd w:val="clear" w:color="auto" w:fill="BFBFBF" w:themeFill="background1" w:themeFillShade="BF"/>
          </w:tcPr>
          <w:p w:rsidR="00507377" w:rsidRDefault="00507377" w:rsidP="00DB74CF">
            <w:pPr>
              <w:rPr>
                <w:rFonts w:ascii="Verdana" w:hAnsi="Verdana"/>
              </w:rPr>
            </w:pPr>
            <w:r>
              <w:rPr>
                <w:rFonts w:ascii="Verdana" w:hAnsi="Verdana"/>
              </w:rPr>
              <w:t>Term 2</w:t>
            </w:r>
          </w:p>
        </w:tc>
        <w:tc>
          <w:tcPr>
            <w:tcW w:w="6663" w:type="dxa"/>
            <w:vMerge/>
          </w:tcPr>
          <w:p w:rsidR="00507377" w:rsidRDefault="00507377" w:rsidP="00DB74CF">
            <w:pPr>
              <w:rPr>
                <w:rFonts w:ascii="Verdana" w:hAnsi="Verdana"/>
              </w:rPr>
            </w:pPr>
          </w:p>
        </w:tc>
        <w:tc>
          <w:tcPr>
            <w:tcW w:w="7512" w:type="dxa"/>
          </w:tcPr>
          <w:p w:rsidR="00507377" w:rsidRPr="00750443" w:rsidRDefault="00507377" w:rsidP="00DB74CF">
            <w:pPr>
              <w:rPr>
                <w:rFonts w:ascii="Verdana" w:hAnsi="Verdana"/>
                <w:b/>
              </w:rPr>
            </w:pPr>
            <w:r w:rsidRPr="00750443">
              <w:rPr>
                <w:rFonts w:ascii="Verdana" w:hAnsi="Verdana"/>
                <w:b/>
              </w:rPr>
              <w:t xml:space="preserve">Unit 3 – Exam </w:t>
            </w:r>
          </w:p>
          <w:p w:rsidR="00507377" w:rsidRPr="00750443" w:rsidRDefault="00507377" w:rsidP="00DB74CF">
            <w:pPr>
              <w:rPr>
                <w:rFonts w:ascii="Verdana" w:hAnsi="Verdana"/>
              </w:rPr>
            </w:pPr>
          </w:p>
          <w:p w:rsidR="00507377" w:rsidRPr="00750443" w:rsidRDefault="00507377" w:rsidP="00DB74CF">
            <w:pPr>
              <w:rPr>
                <w:rFonts w:ascii="Verdana" w:hAnsi="Verdana"/>
                <w:b/>
              </w:rPr>
            </w:pPr>
            <w:r w:rsidRPr="00750443">
              <w:rPr>
                <w:rFonts w:ascii="Verdana" w:hAnsi="Verdana"/>
                <w:b/>
              </w:rPr>
              <w:t>Unit 6 – Marketing Strategy</w:t>
            </w:r>
          </w:p>
          <w:p w:rsidR="00507377" w:rsidRPr="00750443" w:rsidRDefault="00507377" w:rsidP="00DB74CF">
            <w:pPr>
              <w:rPr>
                <w:rFonts w:ascii="Verdana" w:hAnsi="Verdana"/>
              </w:rPr>
            </w:pPr>
            <w:r w:rsidRPr="00750443">
              <w:rPr>
                <w:rFonts w:ascii="Verdana" w:hAnsi="Verdana"/>
              </w:rPr>
              <w:t>Internally assessed</w:t>
            </w:r>
          </w:p>
          <w:p w:rsidR="00507377" w:rsidRPr="00750443" w:rsidRDefault="00507377" w:rsidP="00DB74CF">
            <w:pPr>
              <w:rPr>
                <w:rFonts w:ascii="Verdana" w:hAnsi="Verdana"/>
              </w:rPr>
            </w:pPr>
          </w:p>
        </w:tc>
      </w:tr>
      <w:tr w:rsidR="00507377" w:rsidTr="00DB74CF">
        <w:tc>
          <w:tcPr>
            <w:tcW w:w="1242" w:type="dxa"/>
            <w:shd w:val="clear" w:color="auto" w:fill="BFBFBF" w:themeFill="background1" w:themeFillShade="BF"/>
          </w:tcPr>
          <w:p w:rsidR="00507377" w:rsidRDefault="00507377" w:rsidP="00DB74CF">
            <w:pPr>
              <w:rPr>
                <w:rFonts w:ascii="Verdana" w:hAnsi="Verdana"/>
              </w:rPr>
            </w:pPr>
            <w:r>
              <w:rPr>
                <w:rFonts w:ascii="Verdana" w:hAnsi="Verdana"/>
              </w:rPr>
              <w:t>Term 3</w:t>
            </w:r>
          </w:p>
        </w:tc>
        <w:tc>
          <w:tcPr>
            <w:tcW w:w="6663" w:type="dxa"/>
          </w:tcPr>
          <w:p w:rsidR="00507377" w:rsidRPr="00750443" w:rsidRDefault="00507377" w:rsidP="00DB74CF">
            <w:pPr>
              <w:rPr>
                <w:rFonts w:ascii="Verdana" w:hAnsi="Verdana"/>
                <w:b/>
              </w:rPr>
            </w:pPr>
            <w:r w:rsidRPr="00750443">
              <w:rPr>
                <w:rFonts w:ascii="Verdana" w:hAnsi="Verdana"/>
                <w:b/>
              </w:rPr>
              <w:t>Unit 1 – Exam</w:t>
            </w:r>
          </w:p>
          <w:p w:rsidR="00507377" w:rsidRDefault="00507377" w:rsidP="00DB74CF">
            <w:pPr>
              <w:rPr>
                <w:rFonts w:ascii="Verdana" w:hAnsi="Verdana"/>
              </w:rPr>
            </w:pPr>
          </w:p>
          <w:p w:rsidR="00507377" w:rsidRDefault="00507377" w:rsidP="00DB74CF">
            <w:pPr>
              <w:rPr>
                <w:rFonts w:ascii="Verdana" w:hAnsi="Verdana"/>
              </w:rPr>
            </w:pPr>
            <w:r>
              <w:rPr>
                <w:rFonts w:ascii="Verdana" w:hAnsi="Verdana"/>
              </w:rPr>
              <w:t>Unit 5 - continued</w:t>
            </w:r>
          </w:p>
          <w:p w:rsidR="00507377" w:rsidRDefault="00507377" w:rsidP="00DB74CF">
            <w:pPr>
              <w:rPr>
                <w:rFonts w:ascii="Verdana" w:hAnsi="Verdana"/>
              </w:rPr>
            </w:pPr>
          </w:p>
          <w:p w:rsidR="00507377" w:rsidRDefault="00507377" w:rsidP="00DB74CF">
            <w:pPr>
              <w:rPr>
                <w:rFonts w:ascii="Verdana" w:hAnsi="Verdana"/>
                <w:b/>
              </w:rPr>
            </w:pPr>
            <w:r w:rsidRPr="009132E4">
              <w:rPr>
                <w:rFonts w:ascii="Verdana" w:hAnsi="Verdana"/>
                <w:b/>
              </w:rPr>
              <w:t>Unit 4 – Customers and Communication</w:t>
            </w:r>
          </w:p>
          <w:p w:rsidR="00507377" w:rsidRPr="00750443" w:rsidRDefault="00507377" w:rsidP="00DB74CF">
            <w:pPr>
              <w:rPr>
                <w:rFonts w:ascii="Verdana" w:hAnsi="Verdana"/>
              </w:rPr>
            </w:pPr>
            <w:r>
              <w:rPr>
                <w:rFonts w:ascii="Verdana" w:hAnsi="Verdana"/>
              </w:rPr>
              <w:t>Internally assessed</w:t>
            </w:r>
          </w:p>
          <w:p w:rsidR="00507377" w:rsidRDefault="00507377" w:rsidP="00DB74CF">
            <w:pPr>
              <w:rPr>
                <w:rFonts w:ascii="Verdana" w:hAnsi="Verdana"/>
              </w:rPr>
            </w:pPr>
          </w:p>
          <w:p w:rsidR="00507377" w:rsidRDefault="00507377" w:rsidP="00DB74CF">
            <w:pPr>
              <w:rPr>
                <w:rFonts w:ascii="Verdana" w:hAnsi="Verdana"/>
              </w:rPr>
            </w:pPr>
          </w:p>
          <w:p w:rsidR="00507377" w:rsidRDefault="00507377" w:rsidP="00DB74CF">
            <w:pPr>
              <w:rPr>
                <w:rFonts w:ascii="Verdana" w:hAnsi="Verdana"/>
              </w:rPr>
            </w:pPr>
          </w:p>
        </w:tc>
        <w:tc>
          <w:tcPr>
            <w:tcW w:w="7512" w:type="dxa"/>
          </w:tcPr>
          <w:p w:rsidR="00507377" w:rsidRPr="009132E4" w:rsidRDefault="00507377" w:rsidP="00DB74CF">
            <w:pPr>
              <w:rPr>
                <w:rFonts w:ascii="Verdana" w:hAnsi="Verdana"/>
                <w:b/>
              </w:rPr>
            </w:pPr>
            <w:r w:rsidRPr="009132E4">
              <w:rPr>
                <w:rFonts w:ascii="Verdana" w:hAnsi="Verdana"/>
                <w:b/>
              </w:rPr>
              <w:t xml:space="preserve">Unit 7 </w:t>
            </w:r>
          </w:p>
          <w:p w:rsidR="00507377" w:rsidRDefault="00507377" w:rsidP="00DB74CF">
            <w:pPr>
              <w:rPr>
                <w:rFonts w:ascii="Verdana" w:hAnsi="Verdana"/>
              </w:rPr>
            </w:pPr>
            <w:r w:rsidRPr="009132E4">
              <w:rPr>
                <w:rFonts w:ascii="Verdana" w:hAnsi="Verdana"/>
                <w:b/>
              </w:rPr>
              <w:t>Marketing campaign</w:t>
            </w:r>
          </w:p>
          <w:p w:rsidR="00507377" w:rsidRDefault="00507377" w:rsidP="00DB74CF">
            <w:pPr>
              <w:rPr>
                <w:rFonts w:ascii="Verdana" w:hAnsi="Verdana"/>
              </w:rPr>
            </w:pPr>
            <w:r>
              <w:rPr>
                <w:rFonts w:ascii="Verdana" w:hAnsi="Verdana"/>
              </w:rPr>
              <w:t>Internally assessed</w:t>
            </w:r>
          </w:p>
          <w:p w:rsidR="00507377" w:rsidRDefault="00507377" w:rsidP="00DB74CF">
            <w:pPr>
              <w:rPr>
                <w:rFonts w:ascii="Verdana" w:hAnsi="Verdana"/>
              </w:rPr>
            </w:pPr>
            <w:r>
              <w:rPr>
                <w:rFonts w:ascii="Verdana" w:hAnsi="Verdana"/>
              </w:rPr>
              <w:t>Assessor - Annabelle</w:t>
            </w:r>
          </w:p>
          <w:p w:rsidR="00507377" w:rsidRDefault="00507377" w:rsidP="00DB74CF">
            <w:pPr>
              <w:rPr>
                <w:rFonts w:ascii="Verdana" w:hAnsi="Verdana"/>
              </w:rPr>
            </w:pPr>
          </w:p>
        </w:tc>
      </w:tr>
      <w:tr w:rsidR="00507377" w:rsidTr="00DB74CF">
        <w:tc>
          <w:tcPr>
            <w:tcW w:w="1242" w:type="dxa"/>
            <w:shd w:val="clear" w:color="auto" w:fill="BFBFBF" w:themeFill="background1" w:themeFillShade="BF"/>
          </w:tcPr>
          <w:p w:rsidR="00507377" w:rsidRDefault="00507377" w:rsidP="00DB74CF">
            <w:pPr>
              <w:rPr>
                <w:rFonts w:ascii="Verdana" w:hAnsi="Verdana"/>
              </w:rPr>
            </w:pPr>
            <w:r>
              <w:rPr>
                <w:rFonts w:ascii="Verdana" w:hAnsi="Verdana"/>
              </w:rPr>
              <w:lastRenderedPageBreak/>
              <w:t>Year 13</w:t>
            </w:r>
          </w:p>
        </w:tc>
        <w:tc>
          <w:tcPr>
            <w:tcW w:w="6663" w:type="dxa"/>
            <w:shd w:val="clear" w:color="auto" w:fill="BFBFBF" w:themeFill="background1" w:themeFillShade="BF"/>
          </w:tcPr>
          <w:p w:rsidR="00507377" w:rsidRDefault="00507377" w:rsidP="00DB74CF">
            <w:pPr>
              <w:rPr>
                <w:rFonts w:ascii="Verdana" w:hAnsi="Verdana"/>
              </w:rPr>
            </w:pPr>
          </w:p>
        </w:tc>
        <w:tc>
          <w:tcPr>
            <w:tcW w:w="7512" w:type="dxa"/>
            <w:shd w:val="clear" w:color="auto" w:fill="BFBFBF" w:themeFill="background1" w:themeFillShade="BF"/>
          </w:tcPr>
          <w:p w:rsidR="00507377" w:rsidRDefault="00507377" w:rsidP="00DB74CF">
            <w:pPr>
              <w:rPr>
                <w:rFonts w:ascii="Verdana" w:hAnsi="Verdana"/>
              </w:rPr>
            </w:pPr>
          </w:p>
        </w:tc>
      </w:tr>
      <w:tr w:rsidR="00507377" w:rsidTr="00DB74CF">
        <w:trPr>
          <w:trHeight w:val="621"/>
        </w:trPr>
        <w:tc>
          <w:tcPr>
            <w:tcW w:w="1242" w:type="dxa"/>
            <w:vMerge w:val="restart"/>
            <w:shd w:val="clear" w:color="auto" w:fill="BFBFBF" w:themeFill="background1" w:themeFillShade="BF"/>
          </w:tcPr>
          <w:p w:rsidR="00507377" w:rsidRDefault="00507377" w:rsidP="00DB74CF">
            <w:pPr>
              <w:rPr>
                <w:rFonts w:ascii="Verdana" w:hAnsi="Verdana"/>
              </w:rPr>
            </w:pPr>
            <w:r>
              <w:rPr>
                <w:rFonts w:ascii="Verdana" w:hAnsi="Verdana"/>
              </w:rPr>
              <w:t>Term 1</w:t>
            </w:r>
          </w:p>
        </w:tc>
        <w:tc>
          <w:tcPr>
            <w:tcW w:w="6663" w:type="dxa"/>
          </w:tcPr>
          <w:p w:rsidR="00507377" w:rsidRDefault="00507377" w:rsidP="00DB74CF">
            <w:pPr>
              <w:rPr>
                <w:rFonts w:ascii="Verdana" w:hAnsi="Verdana"/>
                <w:b/>
              </w:rPr>
            </w:pPr>
            <w:r w:rsidRPr="009132E4">
              <w:rPr>
                <w:rFonts w:ascii="Verdana" w:hAnsi="Verdana"/>
                <w:b/>
              </w:rPr>
              <w:t>Unit 4 – Customers and Communication</w:t>
            </w:r>
          </w:p>
          <w:p w:rsidR="00507377" w:rsidRPr="009132E4" w:rsidRDefault="00507377" w:rsidP="00DB74CF">
            <w:pPr>
              <w:rPr>
                <w:rFonts w:ascii="Verdana" w:hAnsi="Verdana"/>
                <w:b/>
              </w:rPr>
            </w:pPr>
          </w:p>
          <w:p w:rsidR="00507377" w:rsidRDefault="00507377" w:rsidP="00DB74CF">
            <w:pPr>
              <w:rPr>
                <w:rFonts w:ascii="Verdana" w:hAnsi="Verdana"/>
              </w:rPr>
            </w:pPr>
          </w:p>
        </w:tc>
        <w:tc>
          <w:tcPr>
            <w:tcW w:w="7512" w:type="dxa"/>
            <w:vMerge w:val="restart"/>
          </w:tcPr>
          <w:p w:rsidR="00507377" w:rsidRPr="009132E4" w:rsidRDefault="00507377" w:rsidP="00DB74CF">
            <w:pPr>
              <w:rPr>
                <w:rFonts w:ascii="Verdana" w:hAnsi="Verdana"/>
                <w:b/>
              </w:rPr>
            </w:pPr>
            <w:r w:rsidRPr="009132E4">
              <w:rPr>
                <w:rFonts w:ascii="Verdana" w:hAnsi="Verdana"/>
                <w:b/>
              </w:rPr>
              <w:t xml:space="preserve">Unit 15 </w:t>
            </w:r>
          </w:p>
          <w:p w:rsidR="00507377" w:rsidRPr="009132E4" w:rsidRDefault="00507377" w:rsidP="00DB74CF">
            <w:pPr>
              <w:rPr>
                <w:rFonts w:ascii="Verdana" w:hAnsi="Verdana"/>
                <w:b/>
              </w:rPr>
            </w:pPr>
            <w:r w:rsidRPr="009132E4">
              <w:rPr>
                <w:rFonts w:ascii="Verdana" w:hAnsi="Verdana"/>
                <w:b/>
              </w:rPr>
              <w:t>Change Management</w:t>
            </w:r>
          </w:p>
          <w:p w:rsidR="00507377" w:rsidRDefault="00507377" w:rsidP="00DB74CF">
            <w:pPr>
              <w:rPr>
                <w:rFonts w:ascii="Verdana" w:hAnsi="Verdana"/>
              </w:rPr>
            </w:pPr>
            <w:r>
              <w:rPr>
                <w:rFonts w:ascii="Verdana" w:hAnsi="Verdana"/>
              </w:rPr>
              <w:t>Externally assessed</w:t>
            </w:r>
          </w:p>
        </w:tc>
      </w:tr>
      <w:tr w:rsidR="00507377" w:rsidTr="00DB74CF">
        <w:trPr>
          <w:trHeight w:val="907"/>
        </w:trPr>
        <w:tc>
          <w:tcPr>
            <w:tcW w:w="1242" w:type="dxa"/>
            <w:vMerge/>
            <w:shd w:val="clear" w:color="auto" w:fill="BFBFBF" w:themeFill="background1" w:themeFillShade="BF"/>
          </w:tcPr>
          <w:p w:rsidR="00507377" w:rsidRDefault="00507377" w:rsidP="00DB74CF">
            <w:pPr>
              <w:rPr>
                <w:rFonts w:ascii="Verdana" w:hAnsi="Verdana"/>
              </w:rPr>
            </w:pPr>
          </w:p>
        </w:tc>
        <w:tc>
          <w:tcPr>
            <w:tcW w:w="6663" w:type="dxa"/>
          </w:tcPr>
          <w:p w:rsidR="00507377" w:rsidRPr="009132E4" w:rsidRDefault="00507377" w:rsidP="00DB74CF">
            <w:pPr>
              <w:rPr>
                <w:rFonts w:ascii="Verdana" w:hAnsi="Verdana"/>
                <w:b/>
              </w:rPr>
            </w:pPr>
            <w:r w:rsidRPr="009132E4">
              <w:rPr>
                <w:rFonts w:ascii="Verdana" w:hAnsi="Verdana"/>
                <w:b/>
              </w:rPr>
              <w:t>Unit 2</w:t>
            </w:r>
          </w:p>
          <w:p w:rsidR="00507377" w:rsidRPr="009132E4" w:rsidRDefault="00507377" w:rsidP="00DB74CF">
            <w:pPr>
              <w:rPr>
                <w:rFonts w:ascii="Verdana" w:hAnsi="Verdana"/>
                <w:b/>
              </w:rPr>
            </w:pPr>
            <w:r w:rsidRPr="009132E4">
              <w:rPr>
                <w:rFonts w:ascii="Verdana" w:hAnsi="Verdana"/>
                <w:b/>
              </w:rPr>
              <w:t>Working in Business</w:t>
            </w:r>
          </w:p>
          <w:p w:rsidR="00507377" w:rsidRDefault="00507377" w:rsidP="00DB74CF">
            <w:pPr>
              <w:rPr>
                <w:rFonts w:ascii="Verdana" w:hAnsi="Verdana"/>
              </w:rPr>
            </w:pPr>
            <w:r>
              <w:rPr>
                <w:rFonts w:ascii="Verdana" w:hAnsi="Verdana"/>
              </w:rPr>
              <w:t>Externally assessed</w:t>
            </w:r>
          </w:p>
          <w:p w:rsidR="00507377" w:rsidRDefault="00507377" w:rsidP="00DB74CF">
            <w:pPr>
              <w:rPr>
                <w:rFonts w:ascii="Verdana" w:hAnsi="Verdana"/>
              </w:rPr>
            </w:pPr>
          </w:p>
        </w:tc>
        <w:tc>
          <w:tcPr>
            <w:tcW w:w="7512" w:type="dxa"/>
            <w:vMerge/>
          </w:tcPr>
          <w:p w:rsidR="00507377" w:rsidRDefault="00507377" w:rsidP="00DB74CF">
            <w:pPr>
              <w:rPr>
                <w:rFonts w:ascii="Verdana" w:hAnsi="Verdana"/>
              </w:rPr>
            </w:pPr>
          </w:p>
        </w:tc>
      </w:tr>
      <w:tr w:rsidR="00507377" w:rsidTr="00DB74CF">
        <w:tc>
          <w:tcPr>
            <w:tcW w:w="1242" w:type="dxa"/>
            <w:shd w:val="clear" w:color="auto" w:fill="BFBFBF" w:themeFill="background1" w:themeFillShade="BF"/>
          </w:tcPr>
          <w:p w:rsidR="00507377" w:rsidRDefault="00507377" w:rsidP="00DB74CF">
            <w:pPr>
              <w:rPr>
                <w:rFonts w:ascii="Verdana" w:hAnsi="Verdana"/>
              </w:rPr>
            </w:pPr>
            <w:r>
              <w:rPr>
                <w:rFonts w:ascii="Verdana" w:hAnsi="Verdana"/>
              </w:rPr>
              <w:t>Term 2</w:t>
            </w:r>
          </w:p>
        </w:tc>
        <w:tc>
          <w:tcPr>
            <w:tcW w:w="6663" w:type="dxa"/>
          </w:tcPr>
          <w:p w:rsidR="00507377" w:rsidRDefault="00507377" w:rsidP="00DB74CF">
            <w:pPr>
              <w:rPr>
                <w:rFonts w:ascii="Verdana" w:hAnsi="Verdana"/>
              </w:rPr>
            </w:pPr>
            <w:r>
              <w:rPr>
                <w:rFonts w:ascii="Verdana" w:hAnsi="Verdana"/>
              </w:rPr>
              <w:t>Unit 2 – Exam</w:t>
            </w:r>
          </w:p>
          <w:p w:rsidR="00507377" w:rsidRPr="009132E4" w:rsidRDefault="00507377" w:rsidP="00DB74CF">
            <w:pPr>
              <w:rPr>
                <w:rFonts w:ascii="Verdana" w:hAnsi="Verdana"/>
                <w:b/>
              </w:rPr>
            </w:pPr>
            <w:r w:rsidRPr="009132E4">
              <w:rPr>
                <w:rFonts w:ascii="Verdana" w:hAnsi="Verdana"/>
                <w:b/>
              </w:rPr>
              <w:t>Unit 16 – Principles of project management</w:t>
            </w:r>
          </w:p>
          <w:p w:rsidR="00507377" w:rsidRDefault="00507377" w:rsidP="00DB74CF">
            <w:pPr>
              <w:rPr>
                <w:rFonts w:ascii="Verdana" w:hAnsi="Verdana"/>
              </w:rPr>
            </w:pPr>
            <w:r>
              <w:rPr>
                <w:rFonts w:ascii="Verdana" w:hAnsi="Verdana"/>
              </w:rPr>
              <w:t>Internally assessed</w:t>
            </w:r>
          </w:p>
          <w:p w:rsidR="00507377" w:rsidRDefault="00507377" w:rsidP="00DB74CF">
            <w:pPr>
              <w:rPr>
                <w:rFonts w:ascii="Verdana" w:hAnsi="Verdana"/>
              </w:rPr>
            </w:pPr>
          </w:p>
        </w:tc>
        <w:tc>
          <w:tcPr>
            <w:tcW w:w="7512" w:type="dxa"/>
            <w:vMerge w:val="restart"/>
          </w:tcPr>
          <w:p w:rsidR="00507377" w:rsidRDefault="00507377" w:rsidP="00DB74CF">
            <w:pPr>
              <w:rPr>
                <w:rFonts w:ascii="Verdana" w:hAnsi="Verdana"/>
              </w:rPr>
            </w:pPr>
            <w:r>
              <w:rPr>
                <w:rFonts w:ascii="Verdana" w:hAnsi="Verdana"/>
              </w:rPr>
              <w:t xml:space="preserve">Unit 15 – Exam </w:t>
            </w:r>
          </w:p>
          <w:p w:rsidR="00507377" w:rsidRDefault="00507377" w:rsidP="00DB74CF">
            <w:pPr>
              <w:rPr>
                <w:rFonts w:ascii="Verdana" w:hAnsi="Verdana"/>
                <w:b/>
              </w:rPr>
            </w:pPr>
          </w:p>
          <w:p w:rsidR="00507377" w:rsidRPr="009132E4" w:rsidRDefault="00507377" w:rsidP="00DB74CF">
            <w:pPr>
              <w:rPr>
                <w:rFonts w:ascii="Verdana" w:hAnsi="Verdana"/>
                <w:b/>
              </w:rPr>
            </w:pPr>
            <w:r w:rsidRPr="009132E4">
              <w:rPr>
                <w:rFonts w:ascii="Verdana" w:hAnsi="Verdana"/>
                <w:b/>
              </w:rPr>
              <w:t>Unit 22 – Delivering a business project</w:t>
            </w:r>
          </w:p>
          <w:p w:rsidR="00507377" w:rsidRDefault="00507377" w:rsidP="00DB74CF">
            <w:pPr>
              <w:rPr>
                <w:rFonts w:ascii="Verdana" w:hAnsi="Verdana"/>
              </w:rPr>
            </w:pPr>
            <w:r>
              <w:rPr>
                <w:rFonts w:ascii="Verdana" w:hAnsi="Verdana"/>
              </w:rPr>
              <w:t>Internally assessed</w:t>
            </w:r>
          </w:p>
          <w:p w:rsidR="00507377" w:rsidRDefault="00507377" w:rsidP="00DB74CF">
            <w:pPr>
              <w:rPr>
                <w:rFonts w:ascii="Verdana" w:hAnsi="Verdana"/>
              </w:rPr>
            </w:pPr>
          </w:p>
          <w:p w:rsidR="00507377" w:rsidRDefault="00507377" w:rsidP="00DB74CF">
            <w:pPr>
              <w:rPr>
                <w:rFonts w:ascii="Verdana" w:hAnsi="Verdana"/>
              </w:rPr>
            </w:pPr>
          </w:p>
        </w:tc>
      </w:tr>
      <w:tr w:rsidR="00507377" w:rsidTr="00DB74CF">
        <w:tc>
          <w:tcPr>
            <w:tcW w:w="1242" w:type="dxa"/>
            <w:shd w:val="clear" w:color="auto" w:fill="BFBFBF" w:themeFill="background1" w:themeFillShade="BF"/>
          </w:tcPr>
          <w:p w:rsidR="00507377" w:rsidRDefault="00507377" w:rsidP="00DB74CF">
            <w:pPr>
              <w:rPr>
                <w:rFonts w:ascii="Verdana" w:hAnsi="Verdana"/>
              </w:rPr>
            </w:pPr>
            <w:r>
              <w:rPr>
                <w:rFonts w:ascii="Verdana" w:hAnsi="Verdana"/>
              </w:rPr>
              <w:t>Term 3</w:t>
            </w:r>
          </w:p>
        </w:tc>
        <w:tc>
          <w:tcPr>
            <w:tcW w:w="6663" w:type="dxa"/>
          </w:tcPr>
          <w:p w:rsidR="00507377" w:rsidRDefault="00507377" w:rsidP="00DB74CF">
            <w:pPr>
              <w:rPr>
                <w:rFonts w:ascii="Verdana" w:hAnsi="Verdana"/>
                <w:b/>
              </w:rPr>
            </w:pPr>
            <w:r>
              <w:rPr>
                <w:rFonts w:ascii="Verdana" w:hAnsi="Verdana"/>
                <w:b/>
              </w:rPr>
              <w:t>Any outstanding coursework</w:t>
            </w:r>
          </w:p>
          <w:p w:rsidR="00507377" w:rsidRDefault="00507377" w:rsidP="00DB74CF">
            <w:pPr>
              <w:rPr>
                <w:rFonts w:ascii="Verdana" w:hAnsi="Verdana"/>
                <w:b/>
              </w:rPr>
            </w:pPr>
          </w:p>
          <w:p w:rsidR="00507377" w:rsidRPr="009132E4" w:rsidRDefault="00507377" w:rsidP="00DB74CF">
            <w:pPr>
              <w:rPr>
                <w:rFonts w:ascii="Verdana" w:hAnsi="Verdana"/>
                <w:b/>
              </w:rPr>
            </w:pPr>
          </w:p>
          <w:p w:rsidR="00507377" w:rsidRDefault="00507377" w:rsidP="00DB74CF">
            <w:pPr>
              <w:rPr>
                <w:rFonts w:ascii="Verdana" w:hAnsi="Verdana"/>
              </w:rPr>
            </w:pPr>
          </w:p>
        </w:tc>
        <w:tc>
          <w:tcPr>
            <w:tcW w:w="7512" w:type="dxa"/>
            <w:vMerge/>
          </w:tcPr>
          <w:p w:rsidR="00507377" w:rsidRDefault="00507377" w:rsidP="00DB74CF">
            <w:pPr>
              <w:rPr>
                <w:rFonts w:ascii="Verdana" w:hAnsi="Verdana"/>
              </w:rPr>
            </w:pPr>
          </w:p>
        </w:tc>
      </w:tr>
    </w:tbl>
    <w:p w:rsidR="0000544C" w:rsidRPr="0000544C" w:rsidRDefault="0000544C" w:rsidP="0000544C">
      <w:pPr>
        <w:spacing w:after="0" w:line="240" w:lineRule="auto"/>
        <w:rPr>
          <w:rFonts w:ascii="Verdana" w:hAnsi="Verdana"/>
        </w:rPr>
      </w:pPr>
    </w:p>
    <w:p w:rsidR="00255783" w:rsidRDefault="00255783" w:rsidP="00255783">
      <w:pPr>
        <w:rPr>
          <w:rFonts w:ascii="Verdana" w:hAnsi="Verdana"/>
        </w:rPr>
      </w:pPr>
      <w:r>
        <w:rPr>
          <w:rFonts w:ascii="Verdana" w:hAnsi="Verdana"/>
        </w:rPr>
        <w:t xml:space="preserve">Students will learn </w:t>
      </w:r>
      <w:r>
        <w:rPr>
          <w:rFonts w:ascii="Verdana" w:hAnsi="Verdana"/>
        </w:rPr>
        <w:t>Business</w:t>
      </w:r>
      <w:r>
        <w:rPr>
          <w:rFonts w:ascii="Verdana" w:hAnsi="Verdana"/>
        </w:rPr>
        <w:t xml:space="preserve"> via:</w:t>
      </w:r>
    </w:p>
    <w:p w:rsidR="00255783" w:rsidRPr="00653811" w:rsidRDefault="00255783" w:rsidP="00255783">
      <w:pPr>
        <w:pStyle w:val="ListParagraph"/>
        <w:numPr>
          <w:ilvl w:val="0"/>
          <w:numId w:val="6"/>
        </w:numPr>
        <w:spacing w:after="0"/>
        <w:rPr>
          <w:rFonts w:ascii="Verdana" w:hAnsi="Verdana"/>
        </w:rPr>
      </w:pPr>
      <w:r w:rsidRPr="00653811">
        <w:rPr>
          <w:rFonts w:ascii="Verdana" w:hAnsi="Verdana"/>
        </w:rPr>
        <w:t>Explanations, modelling, scaffolding, practice,</w:t>
      </w:r>
    </w:p>
    <w:p w:rsidR="00255783" w:rsidRPr="00653811" w:rsidRDefault="00255783" w:rsidP="00255783">
      <w:pPr>
        <w:pStyle w:val="ListParagraph"/>
        <w:numPr>
          <w:ilvl w:val="0"/>
          <w:numId w:val="6"/>
        </w:numPr>
        <w:spacing w:after="0"/>
        <w:rPr>
          <w:rFonts w:ascii="Verdana" w:hAnsi="Verdana"/>
        </w:rPr>
      </w:pPr>
      <w:r w:rsidRPr="00653811">
        <w:rPr>
          <w:rFonts w:ascii="Verdana" w:hAnsi="Verdana"/>
        </w:rPr>
        <w:t>Whole class teaching</w:t>
      </w:r>
    </w:p>
    <w:p w:rsidR="00255783" w:rsidRPr="00653811" w:rsidRDefault="00255783" w:rsidP="00255783">
      <w:pPr>
        <w:pStyle w:val="ListParagraph"/>
        <w:numPr>
          <w:ilvl w:val="0"/>
          <w:numId w:val="6"/>
        </w:numPr>
        <w:spacing w:after="0"/>
        <w:rPr>
          <w:rFonts w:ascii="Verdana" w:hAnsi="Verdana"/>
        </w:rPr>
      </w:pPr>
      <w:r w:rsidRPr="00653811">
        <w:rPr>
          <w:rFonts w:ascii="Verdana" w:hAnsi="Verdana"/>
        </w:rPr>
        <w:t>Debates and discussions</w:t>
      </w:r>
    </w:p>
    <w:p w:rsidR="00255783" w:rsidRDefault="00255783" w:rsidP="00255783">
      <w:pPr>
        <w:pStyle w:val="ListParagraph"/>
        <w:numPr>
          <w:ilvl w:val="0"/>
          <w:numId w:val="6"/>
        </w:numPr>
        <w:spacing w:after="0"/>
        <w:rPr>
          <w:rFonts w:ascii="Verdana" w:hAnsi="Verdana"/>
        </w:rPr>
      </w:pPr>
      <w:r w:rsidRPr="00653811">
        <w:rPr>
          <w:rFonts w:ascii="Verdana" w:hAnsi="Verdana"/>
        </w:rPr>
        <w:t>Role plays</w:t>
      </w:r>
    </w:p>
    <w:p w:rsidR="00255783" w:rsidRPr="00653811" w:rsidRDefault="00255783" w:rsidP="00255783">
      <w:pPr>
        <w:pStyle w:val="ListParagraph"/>
        <w:numPr>
          <w:ilvl w:val="0"/>
          <w:numId w:val="6"/>
        </w:numPr>
        <w:spacing w:after="0"/>
        <w:rPr>
          <w:rFonts w:ascii="Verdana" w:hAnsi="Verdana"/>
        </w:rPr>
      </w:pPr>
      <w:r>
        <w:rPr>
          <w:rFonts w:ascii="Verdana" w:hAnsi="Verdana"/>
        </w:rPr>
        <w:t>Group presentations</w:t>
      </w:r>
    </w:p>
    <w:p w:rsidR="00255783" w:rsidRPr="00653811" w:rsidRDefault="00255783" w:rsidP="00255783">
      <w:pPr>
        <w:pStyle w:val="ListParagraph"/>
        <w:numPr>
          <w:ilvl w:val="0"/>
          <w:numId w:val="6"/>
        </w:numPr>
        <w:spacing w:after="0"/>
        <w:rPr>
          <w:rFonts w:ascii="Verdana" w:hAnsi="Verdana"/>
        </w:rPr>
      </w:pPr>
      <w:r w:rsidRPr="00653811">
        <w:rPr>
          <w:rFonts w:ascii="Verdana" w:hAnsi="Verdana"/>
        </w:rPr>
        <w:t>Structured independent research</w:t>
      </w:r>
    </w:p>
    <w:p w:rsidR="00255783" w:rsidRPr="00653811" w:rsidRDefault="00255783" w:rsidP="00255783">
      <w:pPr>
        <w:pStyle w:val="ListParagraph"/>
        <w:numPr>
          <w:ilvl w:val="0"/>
          <w:numId w:val="6"/>
        </w:numPr>
        <w:spacing w:after="0"/>
        <w:rPr>
          <w:rFonts w:ascii="Verdana" w:hAnsi="Verdana"/>
        </w:rPr>
      </w:pPr>
      <w:r w:rsidRPr="00653811">
        <w:rPr>
          <w:rFonts w:ascii="Verdana" w:hAnsi="Verdana"/>
        </w:rPr>
        <w:t>Assessment for learning activities</w:t>
      </w:r>
    </w:p>
    <w:p w:rsidR="00255783" w:rsidRDefault="00255783" w:rsidP="00255783">
      <w:pPr>
        <w:pStyle w:val="ListParagraph"/>
        <w:numPr>
          <w:ilvl w:val="0"/>
          <w:numId w:val="6"/>
        </w:numPr>
        <w:spacing w:after="0"/>
        <w:rPr>
          <w:rFonts w:ascii="Verdana" w:hAnsi="Verdana"/>
        </w:rPr>
      </w:pPr>
      <w:r w:rsidRPr="00653811">
        <w:rPr>
          <w:rFonts w:ascii="Verdana" w:hAnsi="Verdana"/>
        </w:rPr>
        <w:t>Student-centred learning with the aim of developing autonomy and independence</w:t>
      </w:r>
    </w:p>
    <w:p w:rsidR="00255783" w:rsidRPr="00653811" w:rsidRDefault="00255783" w:rsidP="00255783">
      <w:pPr>
        <w:pStyle w:val="ListParagraph"/>
        <w:spacing w:after="0"/>
        <w:rPr>
          <w:rFonts w:ascii="Verdana" w:hAnsi="Verdana"/>
        </w:rPr>
      </w:pPr>
    </w:p>
    <w:p w:rsidR="00255783" w:rsidRDefault="00255783" w:rsidP="00255783">
      <w:pPr>
        <w:pBdr>
          <w:bottom w:val="single" w:sz="6" w:space="1" w:color="auto"/>
        </w:pBdr>
        <w:spacing w:after="0"/>
        <w:rPr>
          <w:rFonts w:ascii="Verdana" w:hAnsi="Verdana"/>
        </w:rPr>
      </w:pPr>
    </w:p>
    <w:p w:rsidR="00255783" w:rsidRDefault="00255783" w:rsidP="00255783">
      <w:pPr>
        <w:spacing w:after="0"/>
        <w:rPr>
          <w:rFonts w:ascii="Verdana" w:hAnsi="Verdana"/>
        </w:rPr>
      </w:pPr>
    </w:p>
    <w:p w:rsidR="00255783" w:rsidRPr="003F6BF8" w:rsidRDefault="00255783" w:rsidP="00255783">
      <w:pPr>
        <w:spacing w:after="0"/>
        <w:rPr>
          <w:rFonts w:ascii="Verdana" w:hAnsi="Verdana"/>
        </w:rPr>
      </w:pPr>
    </w:p>
    <w:p w:rsidR="00255783" w:rsidRPr="00267AD1" w:rsidRDefault="00255783" w:rsidP="00255783">
      <w:pPr>
        <w:spacing w:after="0"/>
        <w:rPr>
          <w:rFonts w:ascii="Verdana" w:hAnsi="Verdana"/>
          <w:b/>
        </w:rPr>
      </w:pPr>
      <w:r>
        <w:rPr>
          <w:rFonts w:ascii="Verdana" w:hAnsi="Verdana"/>
          <w:b/>
        </w:rPr>
        <w:t>Impact</w:t>
      </w:r>
    </w:p>
    <w:p w:rsidR="00255783" w:rsidRDefault="00255783" w:rsidP="00255783">
      <w:pPr>
        <w:spacing w:after="0"/>
        <w:rPr>
          <w:rFonts w:ascii="Verdana" w:hAnsi="Verdana"/>
        </w:rPr>
      </w:pPr>
    </w:p>
    <w:p w:rsidR="00255783" w:rsidRDefault="00255783" w:rsidP="00255783">
      <w:pPr>
        <w:spacing w:after="0"/>
        <w:rPr>
          <w:rFonts w:ascii="Verdana" w:hAnsi="Verdana"/>
        </w:rPr>
      </w:pPr>
      <w:r>
        <w:rPr>
          <w:rFonts w:ascii="Verdana" w:hAnsi="Verdana"/>
        </w:rPr>
        <w:t>The following methods will be used to assess the impact of students learning:</w:t>
      </w:r>
    </w:p>
    <w:p w:rsidR="00255783" w:rsidRDefault="00255783" w:rsidP="00255783">
      <w:pPr>
        <w:spacing w:after="0"/>
        <w:rPr>
          <w:rFonts w:ascii="Verdana" w:hAnsi="Verdana"/>
        </w:rPr>
      </w:pPr>
    </w:p>
    <w:p w:rsidR="00255783" w:rsidRDefault="00255783" w:rsidP="00255783">
      <w:pPr>
        <w:spacing w:after="0"/>
        <w:rPr>
          <w:rFonts w:ascii="Verdana" w:hAnsi="Verdana"/>
        </w:rPr>
      </w:pPr>
      <w:r>
        <w:rPr>
          <w:rFonts w:ascii="Verdana" w:hAnsi="Verdana"/>
        </w:rPr>
        <w:t>Short-term impacts:</w:t>
      </w:r>
    </w:p>
    <w:p w:rsidR="00255783" w:rsidRPr="00A908C2" w:rsidRDefault="00255783" w:rsidP="00255783">
      <w:pPr>
        <w:pStyle w:val="ListParagraph"/>
        <w:numPr>
          <w:ilvl w:val="0"/>
          <w:numId w:val="8"/>
        </w:numPr>
        <w:spacing w:after="0"/>
        <w:rPr>
          <w:rFonts w:ascii="Verdana" w:hAnsi="Verdana"/>
        </w:rPr>
      </w:pPr>
      <w:r w:rsidRPr="00A908C2">
        <w:rPr>
          <w:rFonts w:ascii="Verdana" w:hAnsi="Verdana"/>
        </w:rPr>
        <w:t>Formative assessments</w:t>
      </w:r>
    </w:p>
    <w:p w:rsidR="00255783" w:rsidRPr="00A908C2" w:rsidRDefault="00255783" w:rsidP="00255783">
      <w:pPr>
        <w:pStyle w:val="ListParagraph"/>
        <w:numPr>
          <w:ilvl w:val="0"/>
          <w:numId w:val="7"/>
        </w:numPr>
        <w:spacing w:after="0"/>
        <w:rPr>
          <w:rFonts w:ascii="Verdana" w:hAnsi="Verdana"/>
        </w:rPr>
      </w:pPr>
      <w:r w:rsidRPr="00A908C2">
        <w:rPr>
          <w:rFonts w:ascii="Verdana" w:hAnsi="Verdana"/>
        </w:rPr>
        <w:t>Regular opportunities for retrieval practice</w:t>
      </w:r>
    </w:p>
    <w:p w:rsidR="00255783" w:rsidRPr="00A908C2" w:rsidRDefault="00255783" w:rsidP="00255783">
      <w:pPr>
        <w:pStyle w:val="ListParagraph"/>
        <w:numPr>
          <w:ilvl w:val="0"/>
          <w:numId w:val="7"/>
        </w:numPr>
        <w:spacing w:after="0"/>
        <w:rPr>
          <w:rFonts w:ascii="Verdana" w:hAnsi="Verdana"/>
        </w:rPr>
      </w:pPr>
      <w:r w:rsidRPr="00A908C2">
        <w:rPr>
          <w:rFonts w:ascii="Verdana" w:hAnsi="Verdana"/>
        </w:rPr>
        <w:t>Book scrutiny</w:t>
      </w:r>
    </w:p>
    <w:p w:rsidR="00255783" w:rsidRDefault="00255783" w:rsidP="00255783">
      <w:pPr>
        <w:spacing w:after="0"/>
        <w:rPr>
          <w:rFonts w:ascii="Verdana" w:hAnsi="Verdana"/>
        </w:rPr>
      </w:pPr>
    </w:p>
    <w:p w:rsidR="00255783" w:rsidRDefault="00255783" w:rsidP="00255783">
      <w:pPr>
        <w:spacing w:after="0"/>
        <w:rPr>
          <w:rFonts w:ascii="Verdana" w:hAnsi="Verdana"/>
        </w:rPr>
      </w:pPr>
      <w:r>
        <w:rPr>
          <w:rFonts w:ascii="Verdana" w:hAnsi="Verdana"/>
        </w:rPr>
        <w:t>Long-term impacts</w:t>
      </w:r>
    </w:p>
    <w:p w:rsidR="00255783" w:rsidRPr="00A908C2" w:rsidRDefault="00255783" w:rsidP="00255783">
      <w:pPr>
        <w:pStyle w:val="ListParagraph"/>
        <w:numPr>
          <w:ilvl w:val="0"/>
          <w:numId w:val="9"/>
        </w:numPr>
        <w:spacing w:after="0"/>
        <w:rPr>
          <w:rFonts w:ascii="Verdana" w:hAnsi="Verdana"/>
        </w:rPr>
      </w:pPr>
      <w:r>
        <w:rPr>
          <w:rFonts w:ascii="Verdana" w:hAnsi="Verdana"/>
        </w:rPr>
        <w:t>90</w:t>
      </w:r>
      <w:r w:rsidRPr="00A908C2">
        <w:rPr>
          <w:rFonts w:ascii="Verdana" w:hAnsi="Verdana"/>
        </w:rPr>
        <w:t xml:space="preserve">% of students to achieve </w:t>
      </w:r>
      <w:r w:rsidRPr="00A908C2">
        <w:rPr>
          <w:rFonts w:ascii="Verdana" w:hAnsi="Verdana"/>
          <w:u w:val="single"/>
        </w:rPr>
        <w:t>at least</w:t>
      </w:r>
      <w:r w:rsidRPr="00A908C2">
        <w:rPr>
          <w:rFonts w:ascii="Verdana" w:hAnsi="Verdana"/>
        </w:rPr>
        <w:t xml:space="preserve"> expected levels of progress and attainment</w:t>
      </w:r>
    </w:p>
    <w:p w:rsidR="00255783" w:rsidRPr="00A908C2" w:rsidRDefault="00255783" w:rsidP="00255783">
      <w:pPr>
        <w:pStyle w:val="ListParagraph"/>
        <w:numPr>
          <w:ilvl w:val="0"/>
          <w:numId w:val="9"/>
        </w:numPr>
        <w:spacing w:after="0"/>
        <w:rPr>
          <w:rFonts w:ascii="Verdana" w:hAnsi="Verdana"/>
        </w:rPr>
      </w:pPr>
      <w:r w:rsidRPr="00A908C2">
        <w:rPr>
          <w:rFonts w:ascii="Verdana" w:hAnsi="Verdana"/>
        </w:rPr>
        <w:t xml:space="preserve">The development of a good range of IT, communication and </w:t>
      </w:r>
      <w:r>
        <w:rPr>
          <w:rFonts w:ascii="Verdana" w:hAnsi="Verdana"/>
        </w:rPr>
        <w:t>employability skills</w:t>
      </w:r>
    </w:p>
    <w:p w:rsidR="00255783" w:rsidRDefault="00255783" w:rsidP="00255783">
      <w:pPr>
        <w:pStyle w:val="ListParagraph"/>
        <w:numPr>
          <w:ilvl w:val="0"/>
          <w:numId w:val="9"/>
        </w:numPr>
        <w:spacing w:after="0"/>
        <w:rPr>
          <w:rFonts w:ascii="Verdana" w:hAnsi="Verdana"/>
        </w:rPr>
      </w:pPr>
      <w:r>
        <w:rPr>
          <w:rFonts w:ascii="Verdana" w:hAnsi="Verdana"/>
        </w:rPr>
        <w:t>95</w:t>
      </w:r>
      <w:r w:rsidRPr="00A908C2">
        <w:rPr>
          <w:rFonts w:ascii="Verdana" w:hAnsi="Verdana"/>
        </w:rPr>
        <w:t>% of students enteri</w:t>
      </w:r>
      <w:r>
        <w:rPr>
          <w:rFonts w:ascii="Verdana" w:hAnsi="Verdana"/>
        </w:rPr>
        <w:t>ng apprenticeships/higher level</w:t>
      </w:r>
      <w:r w:rsidRPr="00A908C2">
        <w:rPr>
          <w:rFonts w:ascii="Verdana" w:hAnsi="Verdana"/>
        </w:rPr>
        <w:t xml:space="preserve"> studies</w:t>
      </w:r>
    </w:p>
    <w:p w:rsidR="00255783" w:rsidRDefault="00255783" w:rsidP="00255783">
      <w:pPr>
        <w:spacing w:after="0"/>
        <w:rPr>
          <w:rFonts w:ascii="Verdana" w:hAnsi="Verdana"/>
        </w:rPr>
      </w:pPr>
    </w:p>
    <w:p w:rsidR="00255783" w:rsidRDefault="00255783" w:rsidP="00255783">
      <w:pPr>
        <w:spacing w:after="0"/>
        <w:rPr>
          <w:rFonts w:ascii="Verdana" w:hAnsi="Verdana"/>
        </w:rPr>
      </w:pPr>
    </w:p>
    <w:p w:rsidR="00255783" w:rsidRPr="008471DE" w:rsidRDefault="00255783" w:rsidP="00255783">
      <w:pPr>
        <w:pBdr>
          <w:bottom w:val="single" w:sz="6" w:space="1" w:color="auto"/>
        </w:pBdr>
        <w:spacing w:after="0"/>
        <w:rPr>
          <w:rFonts w:ascii="Verdana" w:hAnsi="Verdana"/>
        </w:rPr>
      </w:pPr>
    </w:p>
    <w:p w:rsidR="00255783" w:rsidRDefault="00255783" w:rsidP="00255783">
      <w:pPr>
        <w:spacing w:after="0"/>
        <w:rPr>
          <w:rFonts w:ascii="Verdana" w:hAnsi="Verdana"/>
        </w:rPr>
      </w:pPr>
    </w:p>
    <w:p w:rsidR="0000544C" w:rsidRPr="0000544C" w:rsidRDefault="0000544C">
      <w:pPr>
        <w:rPr>
          <w:rFonts w:ascii="Verdana" w:hAnsi="Verdana"/>
        </w:rPr>
      </w:pPr>
      <w:bookmarkStart w:id="0" w:name="_GoBack"/>
      <w:bookmarkEnd w:id="0"/>
    </w:p>
    <w:sectPr w:rsidR="0000544C" w:rsidRPr="0000544C" w:rsidSect="00A7506F">
      <w:headerReference w:type="default" r:id="rId7"/>
      <w:footerReference w:type="default" r:id="rId8"/>
      <w:pgSz w:w="11906" w:h="16838"/>
      <w:pgMar w:top="964" w:right="907" w:bottom="96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55C" w:rsidRDefault="00F5155C" w:rsidP="00F5155C">
      <w:pPr>
        <w:spacing w:after="0" w:line="240" w:lineRule="auto"/>
      </w:pPr>
      <w:r>
        <w:separator/>
      </w:r>
    </w:p>
  </w:endnote>
  <w:endnote w:type="continuationSeparator" w:id="0">
    <w:p w:rsidR="00F5155C" w:rsidRDefault="00F5155C" w:rsidP="00F51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242060"/>
      <w:docPartObj>
        <w:docPartGallery w:val="Page Numbers (Bottom of Page)"/>
        <w:docPartUnique/>
      </w:docPartObj>
    </w:sdtPr>
    <w:sdtEndPr>
      <w:rPr>
        <w:noProof/>
      </w:rPr>
    </w:sdtEndPr>
    <w:sdtContent>
      <w:p w:rsidR="008E4850" w:rsidRDefault="008E4850">
        <w:pPr>
          <w:pStyle w:val="Footer"/>
          <w:jc w:val="center"/>
        </w:pPr>
        <w:r>
          <w:fldChar w:fldCharType="begin"/>
        </w:r>
        <w:r>
          <w:instrText xml:space="preserve"> PAGE   \* MERGEFORMAT </w:instrText>
        </w:r>
        <w:r>
          <w:fldChar w:fldCharType="separate"/>
        </w:r>
        <w:r w:rsidR="001E294A">
          <w:rPr>
            <w:noProof/>
          </w:rPr>
          <w:t>1</w:t>
        </w:r>
        <w:r>
          <w:rPr>
            <w:noProof/>
          </w:rPr>
          <w:fldChar w:fldCharType="end"/>
        </w:r>
      </w:p>
    </w:sdtContent>
  </w:sdt>
  <w:p w:rsidR="008E4850" w:rsidRDefault="008E4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55C" w:rsidRDefault="00F5155C" w:rsidP="00F5155C">
      <w:pPr>
        <w:spacing w:after="0" w:line="240" w:lineRule="auto"/>
      </w:pPr>
      <w:r>
        <w:separator/>
      </w:r>
    </w:p>
  </w:footnote>
  <w:footnote w:type="continuationSeparator" w:id="0">
    <w:p w:rsidR="00F5155C" w:rsidRDefault="00F5155C" w:rsidP="00F51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55C" w:rsidRDefault="00F5155C" w:rsidP="00F5155C">
    <w:pPr>
      <w:pBdr>
        <w:bottom w:val="single" w:sz="6" w:space="1" w:color="auto"/>
      </w:pBdr>
      <w:jc w:val="center"/>
      <w:rPr>
        <w:rFonts w:ascii="Verdana" w:hAnsi="Verdana"/>
        <w:i/>
        <w:sz w:val="16"/>
        <w:szCs w:val="16"/>
      </w:rPr>
    </w:pPr>
    <w:r w:rsidRPr="003F6BF8">
      <w:rPr>
        <w:rFonts w:ascii="Verdana" w:hAnsi="Verdana"/>
        <w:i/>
        <w:sz w:val="16"/>
        <w:szCs w:val="16"/>
      </w:rPr>
      <w:t>“Business has to be involving, it has to be fun, and it has to exercise your creative instincts” – Richard Branson</w:t>
    </w:r>
  </w:p>
  <w:p w:rsidR="00F5155C" w:rsidRDefault="00F5155C">
    <w:pPr>
      <w:pStyle w:val="Header"/>
    </w:pPr>
  </w:p>
  <w:p w:rsidR="00F5155C" w:rsidRDefault="00F51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E36D2"/>
    <w:multiLevelType w:val="hybridMultilevel"/>
    <w:tmpl w:val="87EA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30E94"/>
    <w:multiLevelType w:val="hybridMultilevel"/>
    <w:tmpl w:val="762ABF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25980"/>
    <w:multiLevelType w:val="hybridMultilevel"/>
    <w:tmpl w:val="6922C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9007C"/>
    <w:multiLevelType w:val="hybridMultilevel"/>
    <w:tmpl w:val="A806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10AA6"/>
    <w:multiLevelType w:val="hybridMultilevel"/>
    <w:tmpl w:val="CD7E1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591D99"/>
    <w:multiLevelType w:val="hybridMultilevel"/>
    <w:tmpl w:val="77B85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775D2"/>
    <w:multiLevelType w:val="hybridMultilevel"/>
    <w:tmpl w:val="B09A8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A21CA"/>
    <w:multiLevelType w:val="hybridMultilevel"/>
    <w:tmpl w:val="FA58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4A4"/>
    <w:multiLevelType w:val="hybridMultilevel"/>
    <w:tmpl w:val="81E8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
  </w:num>
  <w:num w:numId="6">
    <w:abstractNumId w:val="8"/>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5C"/>
    <w:rsid w:val="0000544C"/>
    <w:rsid w:val="000B4A24"/>
    <w:rsid w:val="001E294A"/>
    <w:rsid w:val="00255783"/>
    <w:rsid w:val="003C0088"/>
    <w:rsid w:val="00507377"/>
    <w:rsid w:val="008E4850"/>
    <w:rsid w:val="0093140F"/>
    <w:rsid w:val="00A3196A"/>
    <w:rsid w:val="00A7506F"/>
    <w:rsid w:val="00CD54F1"/>
    <w:rsid w:val="00EC1A2E"/>
    <w:rsid w:val="00F51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9125"/>
  <w15:chartTrackingRefBased/>
  <w15:docId w15:val="{C0AD330B-A21D-478B-929F-EE156327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55C"/>
  </w:style>
  <w:style w:type="paragraph" w:styleId="Footer">
    <w:name w:val="footer"/>
    <w:basedOn w:val="Normal"/>
    <w:link w:val="FooterChar"/>
    <w:uiPriority w:val="99"/>
    <w:unhideWhenUsed/>
    <w:rsid w:val="00F51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55C"/>
  </w:style>
  <w:style w:type="paragraph" w:styleId="ListParagraph">
    <w:name w:val="List Paragraph"/>
    <w:basedOn w:val="Normal"/>
    <w:uiPriority w:val="34"/>
    <w:qFormat/>
    <w:rsid w:val="0000544C"/>
    <w:pPr>
      <w:ind w:left="720"/>
      <w:contextualSpacing/>
    </w:pPr>
  </w:style>
  <w:style w:type="paragraph" w:customStyle="1" w:styleId="Tabletext">
    <w:name w:val="Table text"/>
    <w:rsid w:val="00CD54F1"/>
    <w:pPr>
      <w:spacing w:before="80" w:after="60" w:line="240" w:lineRule="atLeast"/>
    </w:pPr>
    <w:rPr>
      <w:rFonts w:ascii="Verdana" w:eastAsia="Times New Roman" w:hAnsi="Verdana" w:cs="Arial"/>
      <w:sz w:val="20"/>
      <w:szCs w:val="24"/>
    </w:rPr>
  </w:style>
  <w:style w:type="table" w:styleId="TableGrid">
    <w:name w:val="Table Grid"/>
    <w:basedOn w:val="TableNormal"/>
    <w:rsid w:val="0050737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Annabelle</dc:creator>
  <cp:keywords/>
  <dc:description/>
  <cp:lastModifiedBy>CALDWELL Annabelle</cp:lastModifiedBy>
  <cp:revision>3</cp:revision>
  <dcterms:created xsi:type="dcterms:W3CDTF">2020-03-16T15:42:00Z</dcterms:created>
  <dcterms:modified xsi:type="dcterms:W3CDTF">2020-03-16T15:52:00Z</dcterms:modified>
</cp:coreProperties>
</file>