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8F0B5E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Key Terms</w:t>
      </w:r>
    </w:p>
    <w:p w:rsidR="000E1DBF" w:rsidRPr="00BA1C83" w:rsidRDefault="000E1DBF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Theme 2 – Managing business activities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8F0B5E">
      <w:pPr>
        <w:rPr>
          <w:rFonts w:ascii="Verdana" w:hAnsi="Verdana"/>
        </w:rPr>
      </w:pPr>
      <w:r>
        <w:rPr>
          <w:rFonts w:ascii="Verdana" w:hAnsi="Verdana"/>
        </w:rPr>
        <w:t>This Key Terms list is</w:t>
      </w:r>
      <w:r w:rsidR="00945A56">
        <w:rPr>
          <w:rFonts w:ascii="Verdana" w:hAnsi="Verdana"/>
        </w:rPr>
        <w:t xml:space="preserve">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</w:t>
      </w:r>
      <w:r>
        <w:rPr>
          <w:rFonts w:ascii="Verdana" w:hAnsi="Verdana"/>
        </w:rPr>
        <w:t>You will be tested on your key terms regularly!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D5B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5C5F49" w:rsidRDefault="005C5F49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0E1DBF" w:rsidRDefault="000E1DBF" w:rsidP="000E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2.1 Raising finance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43"/>
      </w:tblGrid>
      <w:tr w:rsidR="008F0B5E" w:rsidTr="008F0B5E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</w:t>
            </w: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finance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finance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Owners capital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Retained profit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assets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capital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Venture capital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92081C" w:rsidTr="000E1DBF">
        <w:tc>
          <w:tcPr>
            <w:tcW w:w="2405" w:type="dxa"/>
            <w:shd w:val="clear" w:color="auto" w:fill="FFFFFF" w:themeFill="background1"/>
          </w:tcPr>
          <w:p w:rsidR="0092081C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Overdraft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FFFFFF" w:themeFill="background1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Leasing</w:t>
            </w:r>
          </w:p>
          <w:p w:rsidR="0092081C" w:rsidRDefault="0092081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Trade credit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Grants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Crowd funding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plan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Cash flow forecast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Opening balance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Closing balance</w:t>
            </w:r>
          </w:p>
          <w:p w:rsidR="000E1DBF" w:rsidRDefault="000E1DBF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0E1DBF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cash flow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</w:tbl>
    <w:p w:rsidR="008729A3" w:rsidRDefault="008729A3">
      <w:pPr>
        <w:rPr>
          <w:rFonts w:ascii="Verdana" w:hAnsi="Verdana"/>
        </w:rPr>
      </w:pP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0E1DBF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2.2 Financial planning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76"/>
      </w:tblGrid>
      <w:tr w:rsidR="008F0B5E" w:rsidTr="008F0B5E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forecast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Dynamic market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0E1DBF">
        <w:tc>
          <w:tcPr>
            <w:tcW w:w="2972" w:type="dxa"/>
            <w:shd w:val="clear" w:color="auto" w:fill="BFBFBF" w:themeFill="background1" w:themeFillShade="BF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3328D1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volume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revenue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Fixed Cost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Variable cost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Average variable cost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3328D1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variable cost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972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Contribution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Breakeven point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0E1DBF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Margin of safety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0E1DBF" w:rsidTr="000E1DBF">
        <w:tc>
          <w:tcPr>
            <w:tcW w:w="2972" w:type="dxa"/>
            <w:shd w:val="clear" w:color="auto" w:fill="BFBFBF" w:themeFill="background1" w:themeFillShade="BF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0E1DBF" w:rsidRDefault="000E1DBF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0270B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</w:t>
            </w:r>
          </w:p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0270B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Historic budgeting</w:t>
            </w:r>
          </w:p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0270B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Zero-based budgeting</w:t>
            </w:r>
          </w:p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0270B1" w:rsidTr="008F0B5E">
        <w:tc>
          <w:tcPr>
            <w:tcW w:w="2972" w:type="dxa"/>
          </w:tcPr>
          <w:p w:rsidR="000270B1" w:rsidRDefault="000270B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Favourable variance</w:t>
            </w:r>
          </w:p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0270B1" w:rsidRDefault="000270B1" w:rsidP="004B16DE">
            <w:pPr>
              <w:rPr>
                <w:rFonts w:ascii="Verdana" w:hAnsi="Verdana"/>
              </w:rPr>
            </w:pPr>
          </w:p>
        </w:tc>
      </w:tr>
      <w:tr w:rsidR="000270B1" w:rsidTr="008F0B5E">
        <w:tc>
          <w:tcPr>
            <w:tcW w:w="2972" w:type="dxa"/>
          </w:tcPr>
          <w:p w:rsidR="000270B1" w:rsidRDefault="000270B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Adverse variance</w:t>
            </w:r>
          </w:p>
          <w:p w:rsidR="000270B1" w:rsidRDefault="000270B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0270B1" w:rsidRDefault="000270B1" w:rsidP="004B16DE">
            <w:pPr>
              <w:rPr>
                <w:rFonts w:ascii="Verdana" w:hAnsi="Verdana"/>
              </w:rPr>
            </w:pPr>
          </w:p>
        </w:tc>
      </w:tr>
    </w:tbl>
    <w:p w:rsidR="004B16DE" w:rsidRPr="004B16DE" w:rsidRDefault="004B16DE" w:rsidP="004B16DE">
      <w:pPr>
        <w:rPr>
          <w:rFonts w:ascii="Verdana" w:hAnsi="Verdana"/>
        </w:rPr>
      </w:pP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Default="000270B1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2.3 Managing finance</w:t>
      </w:r>
    </w:p>
    <w:p w:rsidR="000270B1" w:rsidRPr="0010313A" w:rsidRDefault="000270B1" w:rsidP="00027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3328D1" w:rsidTr="003328D1">
        <w:tc>
          <w:tcPr>
            <w:tcW w:w="2830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Gross profit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of sales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Revenue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 profit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 expenses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Gross profit margin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 profit margin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 profit margin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0270B1">
        <w:tc>
          <w:tcPr>
            <w:tcW w:w="2830" w:type="dxa"/>
            <w:shd w:val="clear" w:color="auto" w:fill="D9D9D9" w:themeFill="background1" w:themeFillShade="D9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D9D9D9" w:themeFill="background1" w:themeFillShade="D9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Liquidity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0270B1" w:rsidTr="003328D1">
        <w:tc>
          <w:tcPr>
            <w:tcW w:w="2830" w:type="dxa"/>
          </w:tcPr>
          <w:p w:rsidR="000270B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Statement of financial position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0270B1" w:rsidRDefault="000270B1" w:rsidP="003328D1">
            <w:pPr>
              <w:rPr>
                <w:rFonts w:ascii="Verdana" w:hAnsi="Verdana"/>
              </w:rPr>
            </w:pPr>
          </w:p>
        </w:tc>
      </w:tr>
      <w:tr w:rsidR="0092081C" w:rsidTr="000270B1">
        <w:tc>
          <w:tcPr>
            <w:tcW w:w="2830" w:type="dxa"/>
            <w:shd w:val="clear" w:color="auto" w:fill="FFFFFF" w:themeFill="background1"/>
          </w:tcPr>
          <w:p w:rsidR="0092081C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Inventory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FFFFFF" w:themeFill="background1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Acid test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ratio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Working capital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0270B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Liability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Debtor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Creditor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Current asset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Long-term asset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Current liability</w:t>
            </w:r>
          </w:p>
          <w:p w:rsidR="000270B1" w:rsidRDefault="000270B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Long term liability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830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recession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Strengthening pound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0270B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Weakening pound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</w:tbl>
    <w:p w:rsidR="00DE3053" w:rsidRPr="003328D1" w:rsidRDefault="00DE3053" w:rsidP="003328D1">
      <w:pPr>
        <w:rPr>
          <w:rFonts w:ascii="Verdana" w:hAnsi="Verdana"/>
        </w:rPr>
      </w:pPr>
      <w:r w:rsidRPr="003328D1">
        <w:rPr>
          <w:rFonts w:ascii="Verdana" w:hAnsi="Verdana"/>
        </w:rPr>
        <w:br w:type="page"/>
      </w: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0270B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2.4 Resource management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D3ADC" w:rsidRDefault="008D3AD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8D3ADC" w:rsidTr="008D3ADC">
        <w:tc>
          <w:tcPr>
            <w:tcW w:w="3397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terms</w:t>
            </w:r>
          </w:p>
        </w:tc>
        <w:tc>
          <w:tcPr>
            <w:tcW w:w="7251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Productivity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Efficiency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Batch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Flow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Minimum average cost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Economies of scale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Labour intensive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Capital intensive production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0270B1">
        <w:tc>
          <w:tcPr>
            <w:tcW w:w="3397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D9D9D9" w:themeFill="background1" w:themeFillShade="D9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Capacity utilisation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Under-capacity utilisation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 capacity utilisation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Seasonal demand</w:t>
            </w:r>
          </w:p>
          <w:p w:rsidR="000270B1" w:rsidRDefault="000270B1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397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control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270B1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Re-order level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Buffer stock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Lead-time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JIT stock management system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JIC stock management system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Waste minimisation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270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Lean management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Lean production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397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control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assurance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circles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quality management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Kaizen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2672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advantage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</w:tbl>
    <w:p w:rsidR="008D3ADC" w:rsidRDefault="008D3ADC">
      <w:pPr>
        <w:rPr>
          <w:rFonts w:ascii="Verdana" w:hAnsi="Verdana"/>
        </w:rPr>
      </w:pPr>
    </w:p>
    <w:p w:rsidR="008D3ADC" w:rsidRDefault="008D3AD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FC606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2.5 External influences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34"/>
      </w:tblGrid>
      <w:tr w:rsidR="0004704B" w:rsidTr="0004704B">
        <w:tc>
          <w:tcPr>
            <w:tcW w:w="311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53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Macro-economic uncertainty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Micro-</w:t>
            </w:r>
            <w:bookmarkStart w:id="0" w:name="_GoBack"/>
            <w:bookmarkEnd w:id="0"/>
            <w:r>
              <w:rPr>
                <w:rFonts w:ascii="Verdana" w:hAnsi="Verdana"/>
              </w:rPr>
              <w:t>economic uncertainty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Inflation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push inflation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 pull inflation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Price Index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Exchange rate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Appreciating exchange rate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Depreciating exchange rate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Interest rate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Base rate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Monetary Policy Committee (MPC)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Loan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Savings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tax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Indirect tax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Government spending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Business cycle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Peak 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Trough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Recession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forecasting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FC606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Contingency planning</w:t>
            </w:r>
          </w:p>
          <w:p w:rsidR="00FC606B" w:rsidRDefault="00FC606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FC606B" w:rsidRDefault="00FC606B" w:rsidP="001A04DD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114" w:type="dxa"/>
            <w:shd w:val="clear" w:color="auto" w:fill="BFBFBF" w:themeFill="background1" w:themeFillShade="BF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BFBFBF" w:themeFill="background1" w:themeFillShade="BF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protection legislation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Protection Act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Equality Act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FC606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Environmental legislation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Competition policy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Competition and Markets Authority (CMA)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General Data Protection Regulation (GDPR)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and Safety at Work Act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FC606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size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</w:tbl>
    <w:p w:rsidR="006A22E5" w:rsidRDefault="006A22E5" w:rsidP="001A04DD">
      <w:pPr>
        <w:rPr>
          <w:rFonts w:ascii="Verdana" w:hAnsi="Verdana"/>
        </w:rPr>
      </w:pPr>
    </w:p>
    <w:sectPr w:rsidR="006A22E5" w:rsidSect="00A66CBE">
      <w:footerReference w:type="default" r:id="rId7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6B" w:rsidRDefault="00FC606B" w:rsidP="00A66CBE">
      <w:r>
        <w:separator/>
      </w:r>
    </w:p>
  </w:endnote>
  <w:endnote w:type="continuationSeparator" w:id="0">
    <w:p w:rsidR="00FC606B" w:rsidRDefault="00FC606B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606B" w:rsidRDefault="00FC60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CE5" w:rsidRPr="00833CE5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C606B" w:rsidRDefault="00FC6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6B" w:rsidRDefault="00FC606B" w:rsidP="00A66CBE">
      <w:r>
        <w:separator/>
      </w:r>
    </w:p>
  </w:footnote>
  <w:footnote w:type="continuationSeparator" w:id="0">
    <w:p w:rsidR="00FC606B" w:rsidRDefault="00FC606B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18"/>
  </w:num>
  <w:num w:numId="16">
    <w:abstractNumId w:val="4"/>
  </w:num>
  <w:num w:numId="17">
    <w:abstractNumId w:val="32"/>
  </w:num>
  <w:num w:numId="18">
    <w:abstractNumId w:val="27"/>
  </w:num>
  <w:num w:numId="19">
    <w:abstractNumId w:val="20"/>
  </w:num>
  <w:num w:numId="20">
    <w:abstractNumId w:val="16"/>
  </w:num>
  <w:num w:numId="21">
    <w:abstractNumId w:val="26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  <w:num w:numId="27">
    <w:abstractNumId w:val="34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7"/>
  </w:num>
  <w:num w:numId="33">
    <w:abstractNumId w:val="24"/>
  </w:num>
  <w:num w:numId="34">
    <w:abstractNumId w:val="3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270B1"/>
    <w:rsid w:val="000305F0"/>
    <w:rsid w:val="00036877"/>
    <w:rsid w:val="0004704B"/>
    <w:rsid w:val="000777FF"/>
    <w:rsid w:val="000E1DBF"/>
    <w:rsid w:val="0010313A"/>
    <w:rsid w:val="001A04DD"/>
    <w:rsid w:val="001B0741"/>
    <w:rsid w:val="001C3ABE"/>
    <w:rsid w:val="001C43C7"/>
    <w:rsid w:val="002463FE"/>
    <w:rsid w:val="002672FB"/>
    <w:rsid w:val="002D3C6D"/>
    <w:rsid w:val="003328D1"/>
    <w:rsid w:val="003D5841"/>
    <w:rsid w:val="0040494F"/>
    <w:rsid w:val="004A2E83"/>
    <w:rsid w:val="004A2E90"/>
    <w:rsid w:val="004A7F6F"/>
    <w:rsid w:val="004B16DE"/>
    <w:rsid w:val="004B6F23"/>
    <w:rsid w:val="00531835"/>
    <w:rsid w:val="005A4C93"/>
    <w:rsid w:val="005C5F49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25374"/>
    <w:rsid w:val="00744DDA"/>
    <w:rsid w:val="007D0941"/>
    <w:rsid w:val="007F2C78"/>
    <w:rsid w:val="008047CB"/>
    <w:rsid w:val="00833CE5"/>
    <w:rsid w:val="00853C63"/>
    <w:rsid w:val="008729A3"/>
    <w:rsid w:val="008B2437"/>
    <w:rsid w:val="008B6930"/>
    <w:rsid w:val="008D1764"/>
    <w:rsid w:val="008D3ADC"/>
    <w:rsid w:val="008F0B5E"/>
    <w:rsid w:val="0092081C"/>
    <w:rsid w:val="009435FB"/>
    <w:rsid w:val="00945A56"/>
    <w:rsid w:val="009625D6"/>
    <w:rsid w:val="00966132"/>
    <w:rsid w:val="009A7775"/>
    <w:rsid w:val="00A22377"/>
    <w:rsid w:val="00A66CBE"/>
    <w:rsid w:val="00AA78A1"/>
    <w:rsid w:val="00B22523"/>
    <w:rsid w:val="00B401CF"/>
    <w:rsid w:val="00B418A3"/>
    <w:rsid w:val="00B86FA7"/>
    <w:rsid w:val="00BA1C83"/>
    <w:rsid w:val="00C13E00"/>
    <w:rsid w:val="00C13F93"/>
    <w:rsid w:val="00C7041A"/>
    <w:rsid w:val="00CA38E6"/>
    <w:rsid w:val="00D11440"/>
    <w:rsid w:val="00D86633"/>
    <w:rsid w:val="00D901C4"/>
    <w:rsid w:val="00DA77E1"/>
    <w:rsid w:val="00DC61C4"/>
    <w:rsid w:val="00DD5B28"/>
    <w:rsid w:val="00DE0960"/>
    <w:rsid w:val="00DE3053"/>
    <w:rsid w:val="00E23822"/>
    <w:rsid w:val="00E3513C"/>
    <w:rsid w:val="00E44B1B"/>
    <w:rsid w:val="00E52EE1"/>
    <w:rsid w:val="00E55C4B"/>
    <w:rsid w:val="00F276F5"/>
    <w:rsid w:val="00F37231"/>
    <w:rsid w:val="00F51410"/>
    <w:rsid w:val="00F6443B"/>
    <w:rsid w:val="00FC36F6"/>
    <w:rsid w:val="00FC606B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CA33DF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4AAC96B3</Template>
  <TotalTime>99</TotalTime>
  <Pages>9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4</cp:revision>
  <dcterms:created xsi:type="dcterms:W3CDTF">2019-07-16T15:17:00Z</dcterms:created>
  <dcterms:modified xsi:type="dcterms:W3CDTF">2019-07-17T10:21:00Z</dcterms:modified>
</cp:coreProperties>
</file>