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Default="008F0B5E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Key Terms</w:t>
      </w:r>
    </w:p>
    <w:p w:rsidR="000E1DBF" w:rsidRPr="00BA1C83" w:rsidRDefault="000E1DBF" w:rsidP="000E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Theme </w:t>
      </w:r>
      <w:r w:rsidR="001269DE">
        <w:rPr>
          <w:rFonts w:ascii="Verdana" w:hAnsi="Verdana"/>
          <w:b/>
          <w:sz w:val="32"/>
          <w:szCs w:val="32"/>
        </w:rPr>
        <w:t>3 – Business decisions and strategy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8F0B5E">
      <w:pPr>
        <w:rPr>
          <w:rFonts w:ascii="Verdana" w:hAnsi="Verdana"/>
        </w:rPr>
      </w:pPr>
      <w:r>
        <w:rPr>
          <w:rFonts w:ascii="Verdana" w:hAnsi="Verdana"/>
        </w:rPr>
        <w:t>This Key Terms list is</w:t>
      </w:r>
      <w:r w:rsidR="00945A56">
        <w:rPr>
          <w:rFonts w:ascii="Verdana" w:hAnsi="Verdana"/>
        </w:rPr>
        <w:t xml:space="preserve">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</w:t>
      </w:r>
      <w:r>
        <w:rPr>
          <w:rFonts w:ascii="Verdana" w:hAnsi="Verdana"/>
        </w:rPr>
        <w:t>You will be tested on your key terms regularly!</w:t>
      </w:r>
    </w:p>
    <w:p w:rsidR="00945A56" w:rsidRDefault="001269D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11430</wp:posOffset>
            </wp:positionV>
            <wp:extent cx="2583815" cy="2143125"/>
            <wp:effectExtent l="19050" t="19050" r="26035" b="28575"/>
            <wp:wrapTight wrapText="bothSides">
              <wp:wrapPolygon edited="0">
                <wp:start x="-159" y="-192"/>
                <wp:lineTo x="-159" y="21696"/>
                <wp:lineTo x="21658" y="21696"/>
                <wp:lineTo x="21658" y="-192"/>
                <wp:lineTo x="-159" y="-19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t learning cyc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2143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You can use the following resources to help you:</w:t>
      </w:r>
    </w:p>
    <w:p w:rsidR="00945A56" w:rsidRDefault="00945A56">
      <w:pPr>
        <w:rPr>
          <w:rFonts w:ascii="Verdana" w:hAnsi="Verdana"/>
        </w:rPr>
      </w:pP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Getting Started Guide (this is on XXXXXXX)</w:t>
      </w:r>
    </w:p>
    <w:p w:rsidR="00945A56" w:rsidRPr="00945A56" w:rsidRDefault="00AA78A1" w:rsidP="001269DE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Tutor2u Youtube channel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Edexcel A-Level Business text book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Edexcel A-Level Business revision guid</w:t>
      </w:r>
      <w:r w:rsidR="00DD5B28">
        <w:rPr>
          <w:rFonts w:ascii="Verdana" w:hAnsi="Verdana"/>
        </w:rPr>
        <w:t>e</w:t>
      </w:r>
    </w:p>
    <w:p w:rsidR="00D86633" w:rsidRDefault="00D86633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CGP A-Level </w:t>
      </w:r>
      <w:r w:rsidR="001C43C7">
        <w:rPr>
          <w:rFonts w:ascii="Verdana" w:hAnsi="Verdana"/>
        </w:rPr>
        <w:t>Business</w:t>
      </w:r>
      <w:r>
        <w:rPr>
          <w:rFonts w:ascii="Verdana" w:hAnsi="Verdana"/>
        </w:rPr>
        <w:t xml:space="preserve"> revision guide</w:t>
      </w:r>
    </w:p>
    <w:p w:rsidR="005C5F49" w:rsidRDefault="005C5F49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E52EE1" w:rsidRDefault="00E52EE1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0E1DBF" w:rsidRDefault="001269DE" w:rsidP="000E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3.1 Business objectives and strategy</w:t>
      </w:r>
    </w:p>
    <w:p w:rsidR="00036877" w:rsidRPr="00036877" w:rsidRDefault="00036877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1A04DD" w:rsidRDefault="001A04DD" w:rsidP="00F5141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243"/>
      </w:tblGrid>
      <w:tr w:rsidR="008F0B5E" w:rsidTr="008F0B5E">
        <w:tc>
          <w:tcPr>
            <w:tcW w:w="2405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</w:t>
            </w:r>
          </w:p>
        </w:tc>
        <w:tc>
          <w:tcPr>
            <w:tcW w:w="8243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1269D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Corporate objectives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1269D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Mission statement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1269D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Corporate aims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1269D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Corporate strategy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1269DE" w:rsidTr="001269DE">
        <w:tc>
          <w:tcPr>
            <w:tcW w:w="2405" w:type="dxa"/>
            <w:shd w:val="clear" w:color="auto" w:fill="BFBFBF" w:themeFill="background1" w:themeFillShade="BF"/>
          </w:tcPr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BFBFBF" w:themeFill="background1" w:themeFillShade="BF"/>
          </w:tcPr>
          <w:p w:rsidR="001269DE" w:rsidRDefault="001269D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1269D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Ansoff’s Matrix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  <w:p w:rsidR="001269DE" w:rsidRDefault="001269DE" w:rsidP="00F51410">
            <w:pPr>
              <w:rPr>
                <w:rFonts w:ascii="Verdana" w:hAnsi="Verdana"/>
              </w:rPr>
            </w:pPr>
          </w:p>
          <w:p w:rsidR="001269DE" w:rsidRDefault="001269DE" w:rsidP="00F51410">
            <w:pPr>
              <w:rPr>
                <w:rFonts w:ascii="Verdana" w:hAnsi="Verdana"/>
              </w:rPr>
            </w:pPr>
          </w:p>
          <w:p w:rsidR="001269DE" w:rsidRDefault="001269DE" w:rsidP="00F51410">
            <w:pPr>
              <w:rPr>
                <w:rFonts w:ascii="Verdana" w:hAnsi="Verdana"/>
              </w:rPr>
            </w:pPr>
          </w:p>
          <w:p w:rsidR="001269DE" w:rsidRDefault="001269DE" w:rsidP="00F51410">
            <w:pPr>
              <w:rPr>
                <w:rFonts w:ascii="Verdana" w:hAnsi="Verdana"/>
              </w:rPr>
            </w:pPr>
          </w:p>
          <w:p w:rsidR="001269DE" w:rsidRDefault="001269DE" w:rsidP="00F51410">
            <w:pPr>
              <w:rPr>
                <w:rFonts w:ascii="Verdana" w:hAnsi="Verdana"/>
              </w:rPr>
            </w:pP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1269D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Porter’s strategic matrix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  <w:p w:rsidR="001269DE" w:rsidRDefault="001269DE" w:rsidP="00F51410">
            <w:pPr>
              <w:rPr>
                <w:rFonts w:ascii="Verdana" w:hAnsi="Verdana"/>
              </w:rPr>
            </w:pPr>
          </w:p>
          <w:p w:rsidR="001269DE" w:rsidRDefault="001269DE" w:rsidP="00F51410">
            <w:pPr>
              <w:rPr>
                <w:rFonts w:ascii="Verdana" w:hAnsi="Verdana"/>
              </w:rPr>
            </w:pPr>
          </w:p>
          <w:p w:rsidR="0052508B" w:rsidRDefault="0052508B" w:rsidP="00F51410">
            <w:pPr>
              <w:rPr>
                <w:rFonts w:ascii="Verdana" w:hAnsi="Verdana"/>
              </w:rPr>
            </w:pPr>
          </w:p>
          <w:p w:rsidR="001269DE" w:rsidRDefault="001269DE" w:rsidP="00F51410">
            <w:pPr>
              <w:rPr>
                <w:rFonts w:ascii="Verdana" w:hAnsi="Verdana"/>
              </w:rPr>
            </w:pP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1269D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Distinctive capability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1269D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Diversification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92081C" w:rsidTr="000E1DBF">
        <w:tc>
          <w:tcPr>
            <w:tcW w:w="2405" w:type="dxa"/>
            <w:shd w:val="clear" w:color="auto" w:fill="FFFFFF" w:themeFill="background1"/>
          </w:tcPr>
          <w:p w:rsidR="000E1DBF" w:rsidRDefault="001269D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Penetration strategy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FFFFFF" w:themeFill="background1"/>
          </w:tcPr>
          <w:p w:rsidR="0092081C" w:rsidRDefault="0092081C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92081C" w:rsidRDefault="001269D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Portfolio analysis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1269D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development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405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C91733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External audit</w:t>
            </w:r>
          </w:p>
          <w:p w:rsidR="00C91733" w:rsidRDefault="00C91733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C91733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Internal audit</w:t>
            </w:r>
          </w:p>
          <w:p w:rsidR="00C91733" w:rsidRDefault="00C91733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C91733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SWOT analysis</w:t>
            </w:r>
          </w:p>
          <w:p w:rsidR="00C91733" w:rsidRDefault="00C91733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C91733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 association</w:t>
            </w:r>
          </w:p>
          <w:p w:rsidR="00C91733" w:rsidRDefault="00C91733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405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C91733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Monopoly</w:t>
            </w:r>
          </w:p>
          <w:p w:rsidR="00C91733" w:rsidRDefault="00C91733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C91733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Oligopoly</w:t>
            </w:r>
          </w:p>
          <w:p w:rsidR="00C91733" w:rsidRDefault="00C91733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C91733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PESTLE analysis</w:t>
            </w:r>
          </w:p>
          <w:p w:rsidR="00C91733" w:rsidRDefault="00C91733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</w:tbl>
    <w:p w:rsidR="008729A3" w:rsidRDefault="008729A3">
      <w:pPr>
        <w:rPr>
          <w:rFonts w:ascii="Verdana" w:hAnsi="Verdana"/>
        </w:rPr>
      </w:pPr>
    </w:p>
    <w:p w:rsid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C91733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3.2 Business growth</w:t>
      </w:r>
    </w:p>
    <w:p w:rsidR="00FD7FEC" w:rsidRP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8729A3" w:rsidP="00F5141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676"/>
      </w:tblGrid>
      <w:tr w:rsidR="008F0B5E" w:rsidTr="008F0B5E">
        <w:tc>
          <w:tcPr>
            <w:tcW w:w="2972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</w:t>
            </w:r>
          </w:p>
        </w:tc>
        <w:tc>
          <w:tcPr>
            <w:tcW w:w="7676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Diseconomies of scale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Economies of scale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0E1DBF" w:rsidTr="00C91733">
        <w:tc>
          <w:tcPr>
            <w:tcW w:w="2972" w:type="dxa"/>
            <w:shd w:val="clear" w:color="auto" w:fill="FFFFFF" w:themeFill="background1"/>
          </w:tcPr>
          <w:p w:rsidR="000E1DBF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External economies of scale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0E1DBF" w:rsidRDefault="000E1DBF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Internal economies of scale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Minimum efficient scale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30A5F">
        <w:tc>
          <w:tcPr>
            <w:tcW w:w="2972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Backward vertical integration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Forward vertical integration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Horizontal integration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Integration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92081C" w:rsidTr="00C91733">
        <w:tc>
          <w:tcPr>
            <w:tcW w:w="2972" w:type="dxa"/>
            <w:shd w:val="clear" w:color="auto" w:fill="FFFFFF" w:themeFill="background1"/>
          </w:tcPr>
          <w:p w:rsidR="0092081C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Merger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92081C" w:rsidRDefault="0092081C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Synergy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Takeover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Vertical integration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30A5F">
        <w:tc>
          <w:tcPr>
            <w:tcW w:w="2972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0E1DBF" w:rsidTr="00C91733">
        <w:tc>
          <w:tcPr>
            <w:tcW w:w="2972" w:type="dxa"/>
            <w:shd w:val="clear" w:color="auto" w:fill="FFFFFF" w:themeFill="background1"/>
          </w:tcPr>
          <w:p w:rsidR="000E1DBF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Inorganic growth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0E1DBF" w:rsidRDefault="000E1DBF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0270B1" w:rsidRDefault="00830A5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Organic growth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3328D1" w:rsidTr="00B105BE">
        <w:tc>
          <w:tcPr>
            <w:tcW w:w="2972" w:type="dxa"/>
            <w:shd w:val="clear" w:color="auto" w:fill="BFBFBF" w:themeFill="background1" w:themeFillShade="BF"/>
          </w:tcPr>
          <w:p w:rsidR="000270B1" w:rsidRDefault="000270B1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BFBFBF" w:themeFill="background1" w:themeFillShade="BF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0270B1" w:rsidRDefault="00B105B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Monopolist</w:t>
            </w:r>
          </w:p>
          <w:p w:rsidR="00B105BE" w:rsidRDefault="00B105B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0270B1" w:rsidTr="008F0B5E">
        <w:tc>
          <w:tcPr>
            <w:tcW w:w="2972" w:type="dxa"/>
          </w:tcPr>
          <w:p w:rsidR="000270B1" w:rsidRDefault="00B105B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e-commerce</w:t>
            </w:r>
          </w:p>
          <w:p w:rsidR="00B105BE" w:rsidRDefault="00B105B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0270B1" w:rsidRDefault="000270B1" w:rsidP="004B16DE">
            <w:pPr>
              <w:rPr>
                <w:rFonts w:ascii="Verdana" w:hAnsi="Verdana"/>
              </w:rPr>
            </w:pPr>
          </w:p>
        </w:tc>
      </w:tr>
    </w:tbl>
    <w:p w:rsidR="004B16DE" w:rsidRPr="004B16DE" w:rsidRDefault="004B16DE" w:rsidP="004B16DE">
      <w:pPr>
        <w:rPr>
          <w:rFonts w:ascii="Verdana" w:hAnsi="Verdana"/>
        </w:rPr>
      </w:pPr>
    </w:p>
    <w:p w:rsidR="00E3513C" w:rsidRDefault="00E3513C" w:rsidP="00F51410">
      <w:pPr>
        <w:rPr>
          <w:rFonts w:ascii="Verdana" w:hAnsi="Verdana"/>
        </w:rPr>
      </w:pPr>
    </w:p>
    <w:p w:rsidR="00691B3B" w:rsidRDefault="00691B3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10313A" w:rsidRDefault="00B105BE" w:rsidP="00027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3.3 Decision making techniques</w:t>
      </w:r>
    </w:p>
    <w:p w:rsidR="000270B1" w:rsidRPr="0010313A" w:rsidRDefault="000270B1" w:rsidP="00027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10313A" w:rsidRPr="0010313A" w:rsidRDefault="0010313A" w:rsidP="0010313A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818"/>
      </w:tblGrid>
      <w:tr w:rsidR="003328D1" w:rsidTr="003328D1">
        <w:tc>
          <w:tcPr>
            <w:tcW w:w="2830" w:type="dxa"/>
            <w:shd w:val="clear" w:color="auto" w:fill="BFBFBF" w:themeFill="background1" w:themeFillShade="BF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</w:t>
            </w:r>
          </w:p>
        </w:tc>
        <w:tc>
          <w:tcPr>
            <w:tcW w:w="7818" w:type="dxa"/>
            <w:shd w:val="clear" w:color="auto" w:fill="BFBFBF" w:themeFill="background1" w:themeFillShade="BF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B105BE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Centring</w:t>
            </w:r>
          </w:p>
          <w:p w:rsidR="00B105BE" w:rsidRDefault="00B105BE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B105BE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Correlation</w:t>
            </w:r>
          </w:p>
          <w:p w:rsidR="00B105BE" w:rsidRDefault="00B105BE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B105BE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Correlation coefficient</w:t>
            </w:r>
          </w:p>
          <w:p w:rsidR="00B105BE" w:rsidRDefault="00B105BE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B105BE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Moving average</w:t>
            </w:r>
          </w:p>
          <w:p w:rsidR="00B105BE" w:rsidRDefault="00B105BE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B105BE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Scatter graph</w:t>
            </w:r>
          </w:p>
          <w:p w:rsidR="00B105BE" w:rsidRDefault="00B105BE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B105BE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 series analysis</w:t>
            </w:r>
          </w:p>
          <w:p w:rsidR="00B105BE" w:rsidRDefault="00B105BE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B105BE">
        <w:tc>
          <w:tcPr>
            <w:tcW w:w="2830" w:type="dxa"/>
            <w:shd w:val="clear" w:color="auto" w:fill="BFBFBF" w:themeFill="background1" w:themeFillShade="BF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BFBFBF" w:themeFill="background1" w:themeFillShade="BF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0270B1" w:rsidTr="003328D1">
        <w:tc>
          <w:tcPr>
            <w:tcW w:w="2830" w:type="dxa"/>
          </w:tcPr>
          <w:p w:rsidR="000270B1" w:rsidRDefault="00B105BE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Average rate of return (ARR)</w:t>
            </w:r>
          </w:p>
          <w:p w:rsidR="00B105BE" w:rsidRDefault="00B105BE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</w:tr>
      <w:tr w:rsidR="000270B1" w:rsidTr="00B105BE">
        <w:tc>
          <w:tcPr>
            <w:tcW w:w="2830" w:type="dxa"/>
            <w:shd w:val="clear" w:color="auto" w:fill="FFFFFF" w:themeFill="background1"/>
          </w:tcPr>
          <w:p w:rsidR="000270B1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Capital cost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FFFFFF" w:themeFill="background1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</w:tr>
      <w:tr w:rsidR="000270B1" w:rsidTr="003328D1">
        <w:tc>
          <w:tcPr>
            <w:tcW w:w="2830" w:type="dxa"/>
          </w:tcPr>
          <w:p w:rsidR="000270B1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Discounted cash flow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157BC0" w:rsidRDefault="00157BC0" w:rsidP="00157BC0">
            <w:pPr>
              <w:rPr>
                <w:rFonts w:ascii="Verdana" w:hAnsi="Verdana"/>
              </w:rPr>
            </w:pPr>
          </w:p>
        </w:tc>
      </w:tr>
      <w:tr w:rsidR="000270B1" w:rsidTr="003328D1">
        <w:tc>
          <w:tcPr>
            <w:tcW w:w="2830" w:type="dxa"/>
          </w:tcPr>
          <w:p w:rsidR="00157BC0" w:rsidRDefault="00157BC0" w:rsidP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Investment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</w:tr>
      <w:tr w:rsidR="0092081C" w:rsidTr="000270B1">
        <w:tc>
          <w:tcPr>
            <w:tcW w:w="2830" w:type="dxa"/>
            <w:shd w:val="clear" w:color="auto" w:fill="FFFFFF" w:themeFill="background1"/>
          </w:tcPr>
          <w:p w:rsidR="000270B1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Investment appraisal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FFFFFF" w:themeFill="background1"/>
          </w:tcPr>
          <w:p w:rsidR="0092081C" w:rsidRDefault="0092081C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 cash flow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 present value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Payback period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 value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157BC0">
        <w:tc>
          <w:tcPr>
            <w:tcW w:w="2830" w:type="dxa"/>
            <w:shd w:val="clear" w:color="auto" w:fill="D9D9D9" w:themeFill="background1" w:themeFillShade="D9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D9D9D9" w:themeFill="background1" w:themeFillShade="D9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Decision tree</w:t>
            </w:r>
          </w:p>
          <w:p w:rsidR="0052508B" w:rsidRDefault="0052508B" w:rsidP="003328D1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157BC0">
        <w:tc>
          <w:tcPr>
            <w:tcW w:w="2830" w:type="dxa"/>
            <w:shd w:val="clear" w:color="auto" w:fill="D9D9D9" w:themeFill="background1" w:themeFillShade="D9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D9D9D9" w:themeFill="background1" w:themeFillShade="D9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Earliest start time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Critical path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Critical path analysis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Free float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92081C" w:rsidTr="00157BC0">
        <w:tc>
          <w:tcPr>
            <w:tcW w:w="2830" w:type="dxa"/>
            <w:shd w:val="clear" w:color="auto" w:fill="FFFFFF" w:themeFill="background1"/>
          </w:tcPr>
          <w:p w:rsidR="0092081C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Latest finish time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FFFFFF" w:themeFill="background1"/>
          </w:tcPr>
          <w:p w:rsidR="0092081C" w:rsidRDefault="0092081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Network diagram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Nodes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157BC0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float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</w:tbl>
    <w:p w:rsidR="00DE3053" w:rsidRPr="003328D1" w:rsidRDefault="00DE3053" w:rsidP="003328D1">
      <w:pPr>
        <w:rPr>
          <w:rFonts w:ascii="Verdana" w:hAnsi="Verdana"/>
        </w:rPr>
      </w:pPr>
      <w:r w:rsidRPr="003328D1">
        <w:rPr>
          <w:rFonts w:ascii="Verdana" w:hAnsi="Verdana"/>
        </w:rPr>
        <w:br w:type="page"/>
      </w:r>
    </w:p>
    <w:p w:rsidR="004B6F23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157BC0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3.4 Influences on business decisions</w:t>
      </w:r>
    </w:p>
    <w:p w:rsidR="004B6F23" w:rsidRPr="00F51410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D3ADC" w:rsidRDefault="008D3AD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51"/>
      </w:tblGrid>
      <w:tr w:rsidR="008D3ADC" w:rsidTr="008D3ADC">
        <w:tc>
          <w:tcPr>
            <w:tcW w:w="3397" w:type="dxa"/>
            <w:shd w:val="clear" w:color="auto" w:fill="BFBFBF" w:themeFill="background1" w:themeFillShade="BF"/>
          </w:tcPr>
          <w:p w:rsidR="008D3ADC" w:rsidRDefault="008D3A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terms</w:t>
            </w:r>
          </w:p>
        </w:tc>
        <w:tc>
          <w:tcPr>
            <w:tcW w:w="7251" w:type="dxa"/>
            <w:shd w:val="clear" w:color="auto" w:fill="BFBFBF" w:themeFill="background1" w:themeFillShade="BF"/>
          </w:tcPr>
          <w:p w:rsidR="008D3ADC" w:rsidRDefault="008D3A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0270B1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Asset striping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0270B1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Evidence-based decision making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0270B1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Long term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0270B1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Short term</w:t>
            </w:r>
          </w:p>
          <w:p w:rsidR="00157BC0" w:rsidRDefault="00157BC0">
            <w:pPr>
              <w:rPr>
                <w:rFonts w:ascii="Verdana" w:hAnsi="Verdana"/>
              </w:rPr>
            </w:pP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Strategic decisions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Subjective decision making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157BC0">
        <w:tc>
          <w:tcPr>
            <w:tcW w:w="3397" w:type="dxa"/>
            <w:shd w:val="clear" w:color="auto" w:fill="D9D9D9" w:themeFill="background1" w:themeFillShade="D9"/>
          </w:tcPr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D9D9D9" w:themeFill="background1" w:themeFillShade="D9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Cultural dimensions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Corporate culture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Strong culture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157BC0">
        <w:tc>
          <w:tcPr>
            <w:tcW w:w="3397" w:type="dxa"/>
            <w:shd w:val="clear" w:color="auto" w:fill="D9D9D9" w:themeFill="background1" w:themeFillShade="D9"/>
          </w:tcPr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D9D9D9" w:themeFill="background1" w:themeFillShade="D9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157BC0">
        <w:tc>
          <w:tcPr>
            <w:tcW w:w="3397" w:type="dxa"/>
            <w:shd w:val="clear" w:color="auto" w:fill="FFFFFF" w:themeFill="background1"/>
          </w:tcPr>
          <w:p w:rsidR="0004704B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External stakeholder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FFFFFF" w:themeFill="background1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Internal stakeholder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 value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3397" w:type="dxa"/>
            <w:shd w:val="clear" w:color="auto" w:fill="BFBFBF" w:themeFill="background1" w:themeFillShade="BF"/>
          </w:tcPr>
          <w:p w:rsidR="0092081C" w:rsidRDefault="0092081C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BFBFBF" w:themeFill="background1" w:themeFillShade="BF"/>
          </w:tcPr>
          <w:p w:rsidR="0092081C" w:rsidRDefault="0092081C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Corporate social responsibility (CSR)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Ethical code of practice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Ethics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Living wage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National minimum wage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Remuneration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157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Sanctions/trade embargos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</w:tbl>
    <w:p w:rsidR="008D3ADC" w:rsidRDefault="008D3ADC">
      <w:pPr>
        <w:rPr>
          <w:rFonts w:ascii="Verdana" w:hAnsi="Verdana"/>
        </w:rPr>
      </w:pPr>
    </w:p>
    <w:p w:rsidR="008D3ADC" w:rsidRDefault="008D3AD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E3053" w:rsidRDefault="00DE3053" w:rsidP="001A04DD">
      <w:pPr>
        <w:rPr>
          <w:rFonts w:ascii="Verdana" w:hAnsi="Verdana"/>
        </w:rPr>
      </w:pPr>
    </w:p>
    <w:p w:rsidR="006A22E5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157BC0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3.5 Assessing competitiveness</w:t>
      </w:r>
    </w:p>
    <w:p w:rsidR="006A22E5" w:rsidRPr="00F51410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7432"/>
      </w:tblGrid>
      <w:tr w:rsidR="0004704B" w:rsidTr="00F776D3">
        <w:tc>
          <w:tcPr>
            <w:tcW w:w="3216" w:type="dxa"/>
            <w:shd w:val="clear" w:color="auto" w:fill="BFBFBF" w:themeFill="background1" w:themeFillShade="BF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</w:t>
            </w:r>
          </w:p>
        </w:tc>
        <w:tc>
          <w:tcPr>
            <w:tcW w:w="7432" w:type="dxa"/>
            <w:shd w:val="clear" w:color="auto" w:fill="BFBFBF" w:themeFill="background1" w:themeFillShade="BF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157BC0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Finance cost</w:t>
            </w:r>
          </w:p>
          <w:p w:rsidR="00157BC0" w:rsidRDefault="00157BC0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157BC0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Finance income</w:t>
            </w:r>
          </w:p>
          <w:p w:rsidR="00157BC0" w:rsidRDefault="00157BC0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  <w:shd w:val="clear" w:color="auto" w:fill="D9D9D9" w:themeFill="background1" w:themeFillShade="D9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Gearing ratios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Profitability/performance ratios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Ratio analysis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Return on capital employed (ROCE)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Window dressing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  <w:shd w:val="clear" w:color="auto" w:fill="D9D9D9" w:themeFill="background1" w:themeFillShade="D9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Labour productivity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Labour retention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Labour turnover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Rate of absenteeism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  <w:shd w:val="clear" w:color="auto" w:fill="D9D9D9" w:themeFill="background1" w:themeFillShade="D9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Organisational change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Transformational leadership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776D3" w:rsidTr="00F776D3">
        <w:tc>
          <w:tcPr>
            <w:tcW w:w="3216" w:type="dxa"/>
            <w:shd w:val="clear" w:color="auto" w:fill="D9D9D9" w:themeFill="background1" w:themeFillShade="D9"/>
          </w:tcPr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F776D3" w:rsidRDefault="00F776D3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Management of change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  <w:shd w:val="clear" w:color="auto" w:fill="D9D9D9" w:themeFill="background1" w:themeFillShade="D9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continuity plan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Risk assessment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Risk mitigation plans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scenario planning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Succession planning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</w:tbl>
    <w:p w:rsidR="006A22E5" w:rsidRDefault="006A22E5" w:rsidP="001A04DD">
      <w:pPr>
        <w:rPr>
          <w:rFonts w:ascii="Verdana" w:hAnsi="Verdana"/>
        </w:rPr>
      </w:pPr>
    </w:p>
    <w:sectPr w:rsidR="006A22E5" w:rsidSect="00A66CBE">
      <w:footerReference w:type="default" r:id="rId8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C0" w:rsidRDefault="00157BC0" w:rsidP="00A66CBE">
      <w:r>
        <w:separator/>
      </w:r>
    </w:p>
  </w:endnote>
  <w:endnote w:type="continuationSeparator" w:id="0">
    <w:p w:rsidR="00157BC0" w:rsidRDefault="00157BC0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57BC0" w:rsidRDefault="00157BC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08B" w:rsidRPr="0052508B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57BC0" w:rsidRDefault="00157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C0" w:rsidRDefault="00157BC0" w:rsidP="00A66CBE">
      <w:r>
        <w:separator/>
      </w:r>
    </w:p>
  </w:footnote>
  <w:footnote w:type="continuationSeparator" w:id="0">
    <w:p w:rsidR="00157BC0" w:rsidRDefault="00157BC0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37"/>
    <w:multiLevelType w:val="hybridMultilevel"/>
    <w:tmpl w:val="6238810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BA66CD"/>
    <w:multiLevelType w:val="hybridMultilevel"/>
    <w:tmpl w:val="4CC8F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F40"/>
    <w:multiLevelType w:val="multilevel"/>
    <w:tmpl w:val="289A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C22B0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9011731"/>
    <w:multiLevelType w:val="hybridMultilevel"/>
    <w:tmpl w:val="C3F07BCC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D23"/>
    <w:multiLevelType w:val="hybridMultilevel"/>
    <w:tmpl w:val="0B449A68"/>
    <w:lvl w:ilvl="0" w:tplc="9D9E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735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66146F8"/>
    <w:multiLevelType w:val="hybridMultilevel"/>
    <w:tmpl w:val="F910834C"/>
    <w:lvl w:ilvl="0" w:tplc="5E147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96B4D"/>
    <w:multiLevelType w:val="hybridMultilevel"/>
    <w:tmpl w:val="6DCED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3CB3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7072F"/>
    <w:multiLevelType w:val="hybridMultilevel"/>
    <w:tmpl w:val="8BDCF486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5660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4A5FE2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D4DDB"/>
    <w:multiLevelType w:val="hybridMultilevel"/>
    <w:tmpl w:val="34669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A0929"/>
    <w:multiLevelType w:val="multilevel"/>
    <w:tmpl w:val="858818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39BF11D6"/>
    <w:multiLevelType w:val="multilevel"/>
    <w:tmpl w:val="C85AA7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DEC4029"/>
    <w:multiLevelType w:val="hybridMultilevel"/>
    <w:tmpl w:val="640CB7E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84EB2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961EA4"/>
    <w:multiLevelType w:val="hybridMultilevel"/>
    <w:tmpl w:val="88189E28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3DCB"/>
    <w:multiLevelType w:val="hybridMultilevel"/>
    <w:tmpl w:val="C4849892"/>
    <w:lvl w:ilvl="0" w:tplc="E03E6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5679"/>
    <w:multiLevelType w:val="hybridMultilevel"/>
    <w:tmpl w:val="6F00EE02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7637A"/>
    <w:multiLevelType w:val="hybridMultilevel"/>
    <w:tmpl w:val="03449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25A3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3" w15:restartNumberingAfterBreak="0">
    <w:nsid w:val="59F600E6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5CB31739"/>
    <w:multiLevelType w:val="hybridMultilevel"/>
    <w:tmpl w:val="8A96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82636"/>
    <w:multiLevelType w:val="multilevel"/>
    <w:tmpl w:val="1E9455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6" w15:restartNumberingAfterBreak="0">
    <w:nsid w:val="63881A16"/>
    <w:multiLevelType w:val="hybridMultilevel"/>
    <w:tmpl w:val="51F0E452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5DEA"/>
    <w:multiLevelType w:val="hybridMultilevel"/>
    <w:tmpl w:val="B85C220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74B8A"/>
    <w:multiLevelType w:val="hybridMultilevel"/>
    <w:tmpl w:val="601EC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BD6E06"/>
    <w:multiLevelType w:val="hybridMultilevel"/>
    <w:tmpl w:val="A3E4E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96A08"/>
    <w:multiLevelType w:val="multilevel"/>
    <w:tmpl w:val="2ED0621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2" w15:restartNumberingAfterBreak="0">
    <w:nsid w:val="79156F40"/>
    <w:multiLevelType w:val="hybridMultilevel"/>
    <w:tmpl w:val="852209EA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675B0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05FBA"/>
    <w:multiLevelType w:val="hybridMultilevel"/>
    <w:tmpl w:val="361A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12004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9"/>
  </w:num>
  <w:num w:numId="4">
    <w:abstractNumId w:val="17"/>
  </w:num>
  <w:num w:numId="5">
    <w:abstractNumId w:val="2"/>
  </w:num>
  <w:num w:numId="6">
    <w:abstractNumId w:val="15"/>
  </w:num>
  <w:num w:numId="7">
    <w:abstractNumId w:val="35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21"/>
  </w:num>
  <w:num w:numId="13">
    <w:abstractNumId w:val="28"/>
  </w:num>
  <w:num w:numId="14">
    <w:abstractNumId w:val="5"/>
  </w:num>
  <w:num w:numId="15">
    <w:abstractNumId w:val="18"/>
  </w:num>
  <w:num w:numId="16">
    <w:abstractNumId w:val="4"/>
  </w:num>
  <w:num w:numId="17">
    <w:abstractNumId w:val="32"/>
  </w:num>
  <w:num w:numId="18">
    <w:abstractNumId w:val="27"/>
  </w:num>
  <w:num w:numId="19">
    <w:abstractNumId w:val="20"/>
  </w:num>
  <w:num w:numId="20">
    <w:abstractNumId w:val="16"/>
  </w:num>
  <w:num w:numId="21">
    <w:abstractNumId w:val="26"/>
  </w:num>
  <w:num w:numId="22">
    <w:abstractNumId w:val="10"/>
  </w:num>
  <w:num w:numId="23">
    <w:abstractNumId w:val="13"/>
  </w:num>
  <w:num w:numId="24">
    <w:abstractNumId w:val="8"/>
  </w:num>
  <w:num w:numId="25">
    <w:abstractNumId w:val="14"/>
  </w:num>
  <w:num w:numId="26">
    <w:abstractNumId w:val="22"/>
  </w:num>
  <w:num w:numId="27">
    <w:abstractNumId w:val="34"/>
  </w:num>
  <w:num w:numId="28">
    <w:abstractNumId w:val="23"/>
  </w:num>
  <w:num w:numId="29">
    <w:abstractNumId w:val="31"/>
  </w:num>
  <w:num w:numId="30">
    <w:abstractNumId w:val="19"/>
  </w:num>
  <w:num w:numId="31">
    <w:abstractNumId w:val="25"/>
  </w:num>
  <w:num w:numId="32">
    <w:abstractNumId w:val="7"/>
  </w:num>
  <w:num w:numId="33">
    <w:abstractNumId w:val="24"/>
  </w:num>
  <w:num w:numId="34">
    <w:abstractNumId w:val="33"/>
  </w:num>
  <w:num w:numId="35">
    <w:abstractNumId w:val="1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270B1"/>
    <w:rsid w:val="000305F0"/>
    <w:rsid w:val="00036877"/>
    <w:rsid w:val="0004704B"/>
    <w:rsid w:val="000777FF"/>
    <w:rsid w:val="000E1DBF"/>
    <w:rsid w:val="0010313A"/>
    <w:rsid w:val="001269DE"/>
    <w:rsid w:val="00157BC0"/>
    <w:rsid w:val="001A04DD"/>
    <w:rsid w:val="001B0741"/>
    <w:rsid w:val="001C3ABE"/>
    <w:rsid w:val="001C43C7"/>
    <w:rsid w:val="002463FE"/>
    <w:rsid w:val="002672FB"/>
    <w:rsid w:val="002D3C6D"/>
    <w:rsid w:val="003328D1"/>
    <w:rsid w:val="003D5841"/>
    <w:rsid w:val="0040494F"/>
    <w:rsid w:val="004A2E83"/>
    <w:rsid w:val="004A2E90"/>
    <w:rsid w:val="004A7F6F"/>
    <w:rsid w:val="004B16DE"/>
    <w:rsid w:val="004B6F23"/>
    <w:rsid w:val="0052508B"/>
    <w:rsid w:val="00531835"/>
    <w:rsid w:val="005A4C93"/>
    <w:rsid w:val="005C5F49"/>
    <w:rsid w:val="0065732D"/>
    <w:rsid w:val="006736E7"/>
    <w:rsid w:val="00691B3B"/>
    <w:rsid w:val="006A22E5"/>
    <w:rsid w:val="006C4F33"/>
    <w:rsid w:val="006D3856"/>
    <w:rsid w:val="006F4CCC"/>
    <w:rsid w:val="00700489"/>
    <w:rsid w:val="00700F28"/>
    <w:rsid w:val="00725374"/>
    <w:rsid w:val="00744DDA"/>
    <w:rsid w:val="007D0941"/>
    <w:rsid w:val="007F2C78"/>
    <w:rsid w:val="008047CB"/>
    <w:rsid w:val="00830A5F"/>
    <w:rsid w:val="00833CE5"/>
    <w:rsid w:val="00853C63"/>
    <w:rsid w:val="008729A3"/>
    <w:rsid w:val="008B2437"/>
    <w:rsid w:val="008B6930"/>
    <w:rsid w:val="008D1764"/>
    <w:rsid w:val="008D3ADC"/>
    <w:rsid w:val="008F0B5E"/>
    <w:rsid w:val="0092081C"/>
    <w:rsid w:val="009435FB"/>
    <w:rsid w:val="00945A56"/>
    <w:rsid w:val="009625D6"/>
    <w:rsid w:val="00966132"/>
    <w:rsid w:val="009A7775"/>
    <w:rsid w:val="00A22377"/>
    <w:rsid w:val="00A66CBE"/>
    <w:rsid w:val="00AA78A1"/>
    <w:rsid w:val="00B105BE"/>
    <w:rsid w:val="00B22523"/>
    <w:rsid w:val="00B401CF"/>
    <w:rsid w:val="00B418A3"/>
    <w:rsid w:val="00B86FA7"/>
    <w:rsid w:val="00BA1C83"/>
    <w:rsid w:val="00C13E00"/>
    <w:rsid w:val="00C13F93"/>
    <w:rsid w:val="00C7041A"/>
    <w:rsid w:val="00C91733"/>
    <w:rsid w:val="00CA38E6"/>
    <w:rsid w:val="00D11440"/>
    <w:rsid w:val="00D86633"/>
    <w:rsid w:val="00D901C4"/>
    <w:rsid w:val="00DA77E1"/>
    <w:rsid w:val="00DC61C4"/>
    <w:rsid w:val="00DD5B28"/>
    <w:rsid w:val="00DE0960"/>
    <w:rsid w:val="00DE3053"/>
    <w:rsid w:val="00E23822"/>
    <w:rsid w:val="00E3513C"/>
    <w:rsid w:val="00E44B1B"/>
    <w:rsid w:val="00E52EE1"/>
    <w:rsid w:val="00E55C4B"/>
    <w:rsid w:val="00F276F5"/>
    <w:rsid w:val="00F34349"/>
    <w:rsid w:val="00F37231"/>
    <w:rsid w:val="00F51410"/>
    <w:rsid w:val="00F6443B"/>
    <w:rsid w:val="00F776D3"/>
    <w:rsid w:val="00FC36F6"/>
    <w:rsid w:val="00FC606B"/>
    <w:rsid w:val="00FC7606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60B48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71C3AEAD</Template>
  <TotalTime>133</TotalTime>
  <Pages>9</Pages>
  <Words>349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5</cp:revision>
  <dcterms:created xsi:type="dcterms:W3CDTF">2019-07-18T11:51:00Z</dcterms:created>
  <dcterms:modified xsi:type="dcterms:W3CDTF">2019-07-18T14:06:00Z</dcterms:modified>
</cp:coreProperties>
</file>