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0C" w:rsidRDefault="00DE440C">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bookmarkStart w:id="0" w:name="_GoBack"/>
      <w:bookmarkEnd w:id="0"/>
      <w:r>
        <w:rPr>
          <w:rFonts w:ascii="Arial" w:hAnsi="Arial" w:cs="Arial"/>
          <w:b/>
          <w:bCs/>
          <w:color w:val="000000"/>
          <w:sz w:val="27"/>
          <w:szCs w:val="27"/>
          <w:lang w:val="en-US"/>
        </w:rPr>
        <w:t>Q1.</w:t>
      </w:r>
    </w:p>
    <w:p w:rsidR="00DE440C" w:rsidRDefault="00DE440C">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Study the photograph showing urban flooding.</w:t>
      </w:r>
    </w:p>
    <w:p w:rsidR="00DE440C" w:rsidRDefault="00E65195">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distT="0" distB="0" distL="0" distR="0">
            <wp:extent cx="4705350" cy="324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3248025"/>
                    </a:xfrm>
                    <a:prstGeom prst="rect">
                      <a:avLst/>
                    </a:prstGeom>
                    <a:noFill/>
                    <a:ln>
                      <a:noFill/>
                    </a:ln>
                  </pic:spPr>
                </pic:pic>
              </a:graphicData>
            </a:graphic>
          </wp:inline>
        </w:drawing>
      </w:r>
    </w:p>
    <w:p w:rsidR="00DE440C" w:rsidRDefault="00DE440C">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With the help of the photograph, explain how physical and human factors can increase the risk of river flooding.</w:t>
      </w:r>
    </w:p>
    <w:p w:rsidR="00DE440C" w:rsidRDefault="00DE44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DE440C" w:rsidRDefault="00DE440C">
      <w:pPr>
        <w:widowControl w:val="0"/>
        <w:autoSpaceDE w:val="0"/>
        <w:autoSpaceDN w:val="0"/>
        <w:adjustRightInd w:val="0"/>
        <w:spacing w:after="0" w:line="240" w:lineRule="auto"/>
        <w:rPr>
          <w:rFonts w:ascii="Arial" w:hAnsi="Arial" w:cs="Arial"/>
          <w:b/>
          <w:bCs/>
          <w:sz w:val="20"/>
          <w:szCs w:val="20"/>
          <w:lang w:val="en-US"/>
        </w:rPr>
        <w:sectPr w:rsidR="00DE440C">
          <w:footerReference w:type="default" r:id="rId7"/>
          <w:pgSz w:w="11907" w:h="16839"/>
          <w:pgMar w:top="850" w:right="567" w:bottom="850" w:left="1417" w:header="720" w:footer="850" w:gutter="0"/>
          <w:cols w:space="720"/>
          <w:noEndnote/>
        </w:sectPr>
      </w:pPr>
    </w:p>
    <w:p w:rsidR="00DE440C" w:rsidRDefault="00DE440C">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p w:rsidR="00DE440C" w:rsidRDefault="00DE440C">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DE440C" w:rsidRDefault="00DE440C">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w:t>
      </w:r>
    </w:p>
    <w:tbl>
      <w:tblPr>
        <w:tblW w:w="0" w:type="auto"/>
        <w:tblInd w:w="585" w:type="dxa"/>
        <w:tblLayout w:type="fixed"/>
        <w:tblCellMar>
          <w:left w:w="15" w:type="dxa"/>
          <w:right w:w="15" w:type="dxa"/>
        </w:tblCellMar>
        <w:tblLook w:val="0000" w:firstRow="0" w:lastRow="0" w:firstColumn="0" w:lastColumn="0" w:noHBand="0" w:noVBand="0"/>
      </w:tblPr>
      <w:tblGrid>
        <w:gridCol w:w="1749"/>
        <w:gridCol w:w="924"/>
        <w:gridCol w:w="6538"/>
      </w:tblGrid>
      <w:tr w:rsidR="00DE440C" w:rsidTr="00AD66DD">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vAlign w:val="center"/>
          </w:tcPr>
          <w:p w:rsidR="00DE440C" w:rsidRDefault="00DE44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Level</w:t>
            </w:r>
          </w:p>
        </w:tc>
        <w:tc>
          <w:tcPr>
            <w:tcW w:w="924" w:type="dxa"/>
            <w:tcBorders>
              <w:top w:val="single" w:sz="6" w:space="0" w:color="000000"/>
              <w:left w:val="single" w:sz="6" w:space="0" w:color="000000"/>
              <w:bottom w:val="single" w:sz="6" w:space="0" w:color="000000"/>
              <w:right w:val="single" w:sz="6" w:space="0" w:color="000000"/>
            </w:tcBorders>
            <w:vAlign w:val="center"/>
          </w:tcPr>
          <w:p w:rsidR="00DE440C" w:rsidRDefault="00DE44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Marks</w:t>
            </w:r>
          </w:p>
        </w:tc>
        <w:tc>
          <w:tcPr>
            <w:tcW w:w="6538" w:type="dxa"/>
            <w:tcBorders>
              <w:top w:val="single" w:sz="6" w:space="0" w:color="000000"/>
              <w:left w:val="single" w:sz="6" w:space="0" w:color="000000"/>
              <w:bottom w:val="single" w:sz="6" w:space="0" w:color="000000"/>
              <w:right w:val="single" w:sz="6" w:space="0" w:color="000000"/>
            </w:tcBorders>
            <w:vAlign w:val="center"/>
          </w:tcPr>
          <w:p w:rsidR="00DE440C" w:rsidRDefault="00DE440C">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Description</w:t>
            </w:r>
          </w:p>
        </w:tc>
      </w:tr>
      <w:tr w:rsidR="00DE440C" w:rsidTr="00AD66DD">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DE440C" w:rsidRDefault="00DE440C">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3</w:t>
            </w:r>
          </w:p>
          <w:p w:rsidR="00DE440C" w:rsidRDefault="00DE440C">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(Detailed)</w:t>
            </w:r>
          </w:p>
        </w:tc>
        <w:tc>
          <w:tcPr>
            <w:tcW w:w="924" w:type="dxa"/>
            <w:tcBorders>
              <w:top w:val="single" w:sz="6" w:space="0" w:color="000000"/>
              <w:left w:val="single" w:sz="6" w:space="0" w:color="000000"/>
              <w:bottom w:val="single" w:sz="6" w:space="0" w:color="000000"/>
              <w:right w:val="single" w:sz="6" w:space="0" w:color="000000"/>
            </w:tcBorders>
          </w:tcPr>
          <w:p w:rsidR="00DE440C" w:rsidRDefault="00DE44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5 – 6</w:t>
            </w:r>
          </w:p>
        </w:tc>
        <w:tc>
          <w:tcPr>
            <w:tcW w:w="6538" w:type="dxa"/>
            <w:tcBorders>
              <w:top w:val="single" w:sz="6" w:space="0" w:color="000000"/>
              <w:left w:val="single" w:sz="6" w:space="0" w:color="000000"/>
              <w:bottom w:val="single" w:sz="6" w:space="0" w:color="000000"/>
              <w:right w:val="single" w:sz="6" w:space="0" w:color="000000"/>
            </w:tcBorders>
            <w:vAlign w:val="center"/>
          </w:tcPr>
          <w:p w:rsidR="00DE440C" w:rsidRDefault="00DE440C">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AO3 Demonstrates thorough application of knowledge and understanding and thorough analysis of the geographical information, offers detailed explanation of how physical and human factors can increase the risk of flooding.</w:t>
            </w:r>
          </w:p>
          <w:p w:rsidR="00DE440C" w:rsidRDefault="00DE440C">
            <w:pPr>
              <w:widowControl w:val="0"/>
              <w:autoSpaceDE w:val="0"/>
              <w:autoSpaceDN w:val="0"/>
              <w:adjustRightInd w:val="0"/>
              <w:spacing w:after="90" w:line="240" w:lineRule="auto"/>
              <w:ind w:left="45" w:right="45"/>
              <w:rPr>
                <w:rFonts w:ascii="Arial" w:hAnsi="Arial" w:cs="Arial"/>
                <w:lang w:val="en-US"/>
              </w:rPr>
            </w:pPr>
            <w:r>
              <w:rPr>
                <w:rFonts w:ascii="Arial" w:hAnsi="Arial" w:cs="Arial"/>
                <w:lang w:val="en-US"/>
              </w:rPr>
              <w:t>AO3 Makes full analysis of the resource, using evidence to support the response</w:t>
            </w:r>
          </w:p>
        </w:tc>
      </w:tr>
      <w:tr w:rsidR="00DE440C" w:rsidTr="00AD66DD">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DE440C" w:rsidRDefault="00DE440C">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2</w:t>
            </w:r>
          </w:p>
          <w:p w:rsidR="00DE440C" w:rsidRDefault="00DE440C">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(Clear)</w:t>
            </w:r>
          </w:p>
        </w:tc>
        <w:tc>
          <w:tcPr>
            <w:tcW w:w="924" w:type="dxa"/>
            <w:tcBorders>
              <w:top w:val="single" w:sz="6" w:space="0" w:color="000000"/>
              <w:left w:val="single" w:sz="6" w:space="0" w:color="000000"/>
              <w:bottom w:val="single" w:sz="6" w:space="0" w:color="000000"/>
              <w:right w:val="single" w:sz="6" w:space="0" w:color="000000"/>
            </w:tcBorders>
          </w:tcPr>
          <w:p w:rsidR="00DE440C" w:rsidRDefault="00DE44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 – 4</w:t>
            </w:r>
          </w:p>
        </w:tc>
        <w:tc>
          <w:tcPr>
            <w:tcW w:w="6538" w:type="dxa"/>
            <w:tcBorders>
              <w:top w:val="single" w:sz="6" w:space="0" w:color="000000"/>
              <w:left w:val="single" w:sz="6" w:space="0" w:color="000000"/>
              <w:bottom w:val="single" w:sz="6" w:space="0" w:color="000000"/>
              <w:right w:val="single" w:sz="6" w:space="0" w:color="000000"/>
            </w:tcBorders>
            <w:vAlign w:val="center"/>
          </w:tcPr>
          <w:p w:rsidR="00DE440C" w:rsidRDefault="00DE440C">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AO1 Demonstrates clear knowledge of the physical and human factors that can increase the risk of flooding</w:t>
            </w:r>
          </w:p>
          <w:p w:rsidR="00DE440C" w:rsidRDefault="00DE440C">
            <w:pPr>
              <w:widowControl w:val="0"/>
              <w:autoSpaceDE w:val="0"/>
              <w:autoSpaceDN w:val="0"/>
              <w:adjustRightInd w:val="0"/>
              <w:spacing w:after="90" w:line="240" w:lineRule="auto"/>
              <w:ind w:left="45" w:right="45"/>
              <w:rPr>
                <w:rFonts w:ascii="Arial" w:hAnsi="Arial" w:cs="Arial"/>
                <w:lang w:val="en-US"/>
              </w:rPr>
            </w:pPr>
            <w:r>
              <w:rPr>
                <w:rFonts w:ascii="Arial" w:hAnsi="Arial" w:cs="Arial"/>
                <w:lang w:val="en-US"/>
              </w:rPr>
              <w:t>AO2 Demonstrates clear understanding of how physical and human factors can increase the risk of flooding</w:t>
            </w:r>
          </w:p>
        </w:tc>
      </w:tr>
      <w:tr w:rsidR="00DE440C" w:rsidTr="00AD66DD">
        <w:tblPrEx>
          <w:tblCellMar>
            <w:top w:w="0" w:type="dxa"/>
            <w:bottom w:w="0" w:type="dxa"/>
          </w:tblCellMar>
        </w:tblPrEx>
        <w:tc>
          <w:tcPr>
            <w:tcW w:w="1749" w:type="dxa"/>
            <w:tcBorders>
              <w:top w:val="single" w:sz="6" w:space="0" w:color="000000"/>
              <w:left w:val="single" w:sz="6" w:space="0" w:color="000000"/>
              <w:bottom w:val="single" w:sz="6" w:space="0" w:color="000000"/>
              <w:right w:val="single" w:sz="6" w:space="0" w:color="000000"/>
            </w:tcBorders>
          </w:tcPr>
          <w:p w:rsidR="00DE440C" w:rsidRDefault="00DE440C">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1</w:t>
            </w:r>
          </w:p>
          <w:p w:rsidR="00DE440C" w:rsidRDefault="00DE440C">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(Basic)</w:t>
            </w:r>
          </w:p>
        </w:tc>
        <w:tc>
          <w:tcPr>
            <w:tcW w:w="924" w:type="dxa"/>
            <w:tcBorders>
              <w:top w:val="single" w:sz="6" w:space="0" w:color="000000"/>
              <w:left w:val="single" w:sz="6" w:space="0" w:color="000000"/>
              <w:bottom w:val="single" w:sz="6" w:space="0" w:color="000000"/>
              <w:right w:val="single" w:sz="6" w:space="0" w:color="000000"/>
            </w:tcBorders>
          </w:tcPr>
          <w:p w:rsidR="00DE440C" w:rsidRDefault="00DE440C">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 – 2</w:t>
            </w:r>
          </w:p>
        </w:tc>
        <w:tc>
          <w:tcPr>
            <w:tcW w:w="6538" w:type="dxa"/>
            <w:tcBorders>
              <w:top w:val="single" w:sz="6" w:space="0" w:color="000000"/>
              <w:left w:val="single" w:sz="6" w:space="0" w:color="000000"/>
              <w:bottom w:val="single" w:sz="6" w:space="0" w:color="000000"/>
              <w:right w:val="single" w:sz="6" w:space="0" w:color="000000"/>
            </w:tcBorders>
            <w:vAlign w:val="center"/>
          </w:tcPr>
          <w:p w:rsidR="00DE440C" w:rsidRDefault="00DE440C">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AO1 Shows limited knowledge of the physical and human factors that can increase the risk of flooding.</w:t>
            </w:r>
          </w:p>
          <w:p w:rsidR="00DE440C" w:rsidRDefault="00DE440C">
            <w:pPr>
              <w:widowControl w:val="0"/>
              <w:autoSpaceDE w:val="0"/>
              <w:autoSpaceDN w:val="0"/>
              <w:adjustRightInd w:val="0"/>
              <w:spacing w:after="90" w:line="240" w:lineRule="auto"/>
              <w:ind w:left="45" w:right="45"/>
              <w:rPr>
                <w:rFonts w:ascii="Arial" w:hAnsi="Arial" w:cs="Arial"/>
                <w:lang w:val="en-US"/>
              </w:rPr>
            </w:pPr>
            <w:r>
              <w:rPr>
                <w:rFonts w:ascii="Arial" w:hAnsi="Arial" w:cs="Arial"/>
                <w:lang w:val="en-US"/>
              </w:rPr>
              <w:t>AO2 Shows limited understanding of how physical and human factors increase the risk of flooding.</w:t>
            </w:r>
          </w:p>
        </w:tc>
      </w:tr>
    </w:tbl>
    <w:p w:rsidR="00DE440C" w:rsidRDefault="00DE440C">
      <w:pPr>
        <w:widowControl w:val="0"/>
        <w:autoSpaceDE w:val="0"/>
        <w:autoSpaceDN w:val="0"/>
        <w:adjustRightInd w:val="0"/>
        <w:spacing w:before="240" w:after="0" w:line="240" w:lineRule="auto"/>
        <w:ind w:left="567" w:right="567"/>
        <w:rPr>
          <w:rFonts w:ascii="Arial" w:hAnsi="Arial" w:cs="Arial"/>
          <w:u w:val="single"/>
          <w:lang w:val="en-US"/>
        </w:rPr>
      </w:pPr>
      <w:r>
        <w:rPr>
          <w:rFonts w:ascii="Arial" w:hAnsi="Arial" w:cs="Arial"/>
          <w:u w:val="single"/>
          <w:lang w:val="en-US"/>
        </w:rPr>
        <w:t>Indicative content</w:t>
      </w:r>
    </w:p>
    <w:p w:rsidR="00DE440C" w:rsidRDefault="00DE440C">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Students might use an example (place) or discussion about the different physical and human factors that might increase the flood risk.</w:t>
      </w:r>
    </w:p>
    <w:p w:rsidR="00DE440C" w:rsidRDefault="00DE440C">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The figure shows an urban area and ideas generated from the photograph might include wide flood plain, flat terrain and observations about the creation of hard surfaces; drainage which might reduce lag times; changing river channels.</w:t>
      </w:r>
    </w:p>
    <w:p w:rsidR="00DE440C" w:rsidRDefault="00DE440C">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Accept points about building on flood plains.</w:t>
      </w:r>
    </w:p>
    <w:p w:rsidR="00DE440C" w:rsidRDefault="00DE440C">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Accept points that may not be clearly identified on the figure (Question states ‘With the help of …..’) as long as they are relevant. This might include points about deforestation etc.</w:t>
      </w:r>
    </w:p>
    <w:p w:rsidR="00DE440C" w:rsidRDefault="00DE440C">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Students who simply describe flood events / effects will be restricted to lower levels. For higher level marks the emphasis needs to move towards considering the link between physical / human factors and flood risk.</w:t>
      </w:r>
    </w:p>
    <w:p w:rsidR="00DE440C" w:rsidRDefault="00DE440C">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AO1 = 2</w:t>
      </w:r>
    </w:p>
    <w:p w:rsidR="00DE440C" w:rsidRDefault="00DE440C">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AO2 = 2</w:t>
      </w:r>
    </w:p>
    <w:p w:rsidR="00DE440C" w:rsidRDefault="00DE440C">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AO3 = 2</w:t>
      </w:r>
    </w:p>
    <w:p w:rsidR="00DE440C" w:rsidRDefault="00DE440C">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sectPr w:rsidR="00DE440C">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8C" w:rsidRDefault="003A4A8C">
      <w:pPr>
        <w:spacing w:after="0" w:line="240" w:lineRule="auto"/>
      </w:pPr>
      <w:r>
        <w:separator/>
      </w:r>
    </w:p>
  </w:endnote>
  <w:endnote w:type="continuationSeparator" w:id="0">
    <w:p w:rsidR="003A4A8C" w:rsidRDefault="003A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0C" w:rsidRDefault="00DE440C">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E65195">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E65195">
      <w:rPr>
        <w:rFonts w:ascii="Arial" w:hAnsi="Arial" w:cs="Arial"/>
        <w:noProof/>
        <w:lang w:val="en-US"/>
      </w:rPr>
      <w:t>2</w:t>
    </w:r>
    <w:r>
      <w:rPr>
        <w:rFonts w:ascii="Arial" w:hAnsi="Arial" w:cs="Arial"/>
        <w:lang w:val="en-US"/>
      </w:rPr>
      <w:fldChar w:fldCharType="end"/>
    </w:r>
  </w:p>
  <w:p w:rsidR="00DE440C" w:rsidRDefault="00DE440C">
    <w:pPr>
      <w:widowControl w:val="0"/>
      <w:autoSpaceDE w:val="0"/>
      <w:autoSpaceDN w:val="0"/>
      <w:adjustRightInd w:val="0"/>
      <w:spacing w:before="567" w:after="0" w:line="20" w:lineRule="exact"/>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8C" w:rsidRDefault="003A4A8C">
      <w:pPr>
        <w:spacing w:after="0" w:line="240" w:lineRule="auto"/>
      </w:pPr>
      <w:r>
        <w:separator/>
      </w:r>
    </w:p>
  </w:footnote>
  <w:footnote w:type="continuationSeparator" w:id="0">
    <w:p w:rsidR="003A4A8C" w:rsidRDefault="003A4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DD"/>
    <w:rsid w:val="003A4A8C"/>
    <w:rsid w:val="00AD66DD"/>
    <w:rsid w:val="00DE440C"/>
    <w:rsid w:val="00E65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3F3EE4-CE17-474E-8469-402ED62D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AD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6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Peter</dc:creator>
  <cp:keywords/>
  <dc:description>Created by the \'abHTML to RTF .Net\'bb 5.8.2.9</dc:description>
  <cp:lastModifiedBy>BULLARD, Gary</cp:lastModifiedBy>
  <cp:revision>2</cp:revision>
  <cp:lastPrinted>2019-03-05T16:02:00Z</cp:lastPrinted>
  <dcterms:created xsi:type="dcterms:W3CDTF">2020-10-16T07:24:00Z</dcterms:created>
  <dcterms:modified xsi:type="dcterms:W3CDTF">2020-10-16T07:24:00Z</dcterms:modified>
</cp:coreProperties>
</file>